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C2B3" w14:textId="77777777" w:rsidR="00002AEE" w:rsidRPr="00426003" w:rsidRDefault="00106529" w:rsidP="00385379">
      <w:pPr>
        <w:jc w:val="center"/>
        <w:rPr>
          <w:sz w:val="32"/>
          <w:u w:val="single"/>
        </w:rPr>
      </w:pPr>
      <w:r w:rsidRPr="00426003">
        <w:rPr>
          <w:sz w:val="32"/>
          <w:u w:val="single"/>
        </w:rPr>
        <w:t>PEER-REVIEWED HIPPIES</w:t>
      </w:r>
    </w:p>
    <w:p w14:paraId="164C64CE" w14:textId="77777777" w:rsidR="00426003" w:rsidRDefault="00AA3018" w:rsidP="00385379">
      <w:pPr>
        <w:jc w:val="center"/>
      </w:pPr>
      <w:r w:rsidRPr="00AA3018">
        <w:t xml:space="preserve">Remarks </w:t>
      </w:r>
      <w:r w:rsidR="00426003">
        <w:t>occasioned by</w:t>
      </w:r>
      <w:r w:rsidRPr="00AA3018">
        <w:t xml:space="preserve"> the </w:t>
      </w:r>
    </w:p>
    <w:p w14:paraId="742E0AD4" w14:textId="77777777" w:rsidR="00426003" w:rsidRDefault="00AA3018" w:rsidP="00385379">
      <w:pPr>
        <w:jc w:val="center"/>
      </w:pPr>
      <w:r w:rsidRPr="00426003">
        <w:rPr>
          <w:b/>
        </w:rPr>
        <w:t>Education for Sustainability</w:t>
      </w:r>
      <w:r w:rsidRPr="00AA3018">
        <w:t xml:space="preserve"> conference </w:t>
      </w:r>
      <w:r w:rsidR="00385379">
        <w:t xml:space="preserve">                                                                       </w:t>
      </w:r>
    </w:p>
    <w:p w14:paraId="5B4808E5" w14:textId="0BC3DE26" w:rsidR="00AA3018" w:rsidRDefault="00AA3018" w:rsidP="00385379">
      <w:pPr>
        <w:jc w:val="center"/>
      </w:pPr>
      <w:r w:rsidRPr="00AA3018">
        <w:t>Canterbury Christ Church University, July 7, 2016</w:t>
      </w:r>
    </w:p>
    <w:p w14:paraId="758A180C" w14:textId="77777777" w:rsidR="0081400F" w:rsidRPr="00AA3018" w:rsidRDefault="0081400F" w:rsidP="00385379">
      <w:pPr>
        <w:jc w:val="center"/>
      </w:pPr>
      <w:r>
        <w:t>Peter Harper</w:t>
      </w:r>
    </w:p>
    <w:p w14:paraId="4DC982EA" w14:textId="70555CAA" w:rsidR="00106529" w:rsidRDefault="00426003">
      <w:r w:rsidRPr="0010652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93C53B" wp14:editId="26E68E56">
            <wp:simplePos x="0" y="0"/>
            <wp:positionH relativeFrom="column">
              <wp:posOffset>1571625</wp:posOffset>
            </wp:positionH>
            <wp:positionV relativeFrom="paragraph">
              <wp:posOffset>231140</wp:posOffset>
            </wp:positionV>
            <wp:extent cx="2924175" cy="2371090"/>
            <wp:effectExtent l="0" t="0" r="9525" b="0"/>
            <wp:wrapSquare wrapText="bothSides"/>
            <wp:docPr id="2" name="Picture 1" descr="C:\Users\Peter Harper\Documents\IMAGES\Images\Philosophy\Aromathera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Peter Harper\Documents\IMAGES\Images\Philosophy\Aromatherapy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0"/>
                    <a:stretch/>
                  </pic:blipFill>
                  <pic:spPr bwMode="auto">
                    <a:xfrm>
                      <a:off x="0" y="0"/>
                      <a:ext cx="292417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B01CE8" w14:textId="27E3FC5E" w:rsidR="00106529" w:rsidRDefault="00106529"/>
    <w:p w14:paraId="0946C93A" w14:textId="77777777" w:rsidR="00426003" w:rsidRDefault="00426003"/>
    <w:p w14:paraId="1E81AB03" w14:textId="77777777" w:rsidR="00426003" w:rsidRDefault="00426003"/>
    <w:p w14:paraId="277BD343" w14:textId="77777777" w:rsidR="00426003" w:rsidRDefault="00426003"/>
    <w:p w14:paraId="2DFD4F40" w14:textId="77777777" w:rsidR="00426003" w:rsidRDefault="00426003"/>
    <w:p w14:paraId="542B3AF2" w14:textId="77777777" w:rsidR="00426003" w:rsidRDefault="00426003"/>
    <w:p w14:paraId="0C06514E" w14:textId="77777777" w:rsidR="00426003" w:rsidRDefault="00426003"/>
    <w:p w14:paraId="1DE3B190" w14:textId="77777777" w:rsidR="00426003" w:rsidRDefault="00426003"/>
    <w:p w14:paraId="47B821DE" w14:textId="77777777" w:rsidR="00426003" w:rsidRDefault="00426003"/>
    <w:p w14:paraId="6D51B836" w14:textId="27C18FD8" w:rsidR="00106529" w:rsidRDefault="006F5F8A">
      <w:r>
        <w:t>With some diffidence, I am going to make some critical outsider’</w:t>
      </w:r>
      <w:r w:rsidR="00AA3018">
        <w:t>s remarks about the C</w:t>
      </w:r>
      <w:r>
        <w:t>onference and the Education for Sustainability (</w:t>
      </w:r>
      <w:proofErr w:type="spellStart"/>
      <w:r>
        <w:t>EfS</w:t>
      </w:r>
      <w:proofErr w:type="spellEnd"/>
      <w:r>
        <w:t>) community as a whole.</w:t>
      </w:r>
    </w:p>
    <w:p w14:paraId="7314D7D7" w14:textId="77777777" w:rsidR="006F5F8A" w:rsidRDefault="006F5F8A">
      <w:r>
        <w:t xml:space="preserve">The cartoon </w:t>
      </w:r>
      <w:r w:rsidR="00385379">
        <w:t xml:space="preserve">above </w:t>
      </w:r>
      <w:r>
        <w:t xml:space="preserve">sums it up. The joke is that the proposed treatment is wildly inappropriate to the situation. We all understand that emergency medicine is quite different from everyday healthy living </w:t>
      </w:r>
      <w:r w:rsidR="0040283B">
        <w:t>along with</w:t>
      </w:r>
      <w:r>
        <w:t xml:space="preserve"> the various ‘extras’ (</w:t>
      </w:r>
      <w:r w:rsidR="0081400F">
        <w:t>like</w:t>
      </w:r>
      <w:r>
        <w:t xml:space="preserve"> aromatherapy) that we use to enhance it. </w:t>
      </w:r>
    </w:p>
    <w:p w14:paraId="01A9466D" w14:textId="77777777" w:rsidR="006F5F8A" w:rsidRDefault="006F5F8A">
      <w:r>
        <w:t xml:space="preserve">By analogy, there are two forms of sustainability: everyday low-impact living, and vigorous, rapid, co-ordinated, highly technologized </w:t>
      </w:r>
      <w:r w:rsidR="00B6143D">
        <w:t xml:space="preserve">mass </w:t>
      </w:r>
      <w:r>
        <w:t xml:space="preserve">transformations aimed at preventing </w:t>
      </w:r>
      <w:r w:rsidR="0040283B">
        <w:t xml:space="preserve">incipient </w:t>
      </w:r>
      <w:r>
        <w:t>irreversible changes to the physical support systems.</w:t>
      </w:r>
      <w:r w:rsidR="0040283B">
        <w:t xml:space="preserve"> In spite of some overlaps, they are </w:t>
      </w:r>
      <w:r w:rsidR="0040283B" w:rsidRPr="00744AA9">
        <w:rPr>
          <w:i/>
        </w:rPr>
        <w:t>dramatically different</w:t>
      </w:r>
      <w:r w:rsidR="0040283B">
        <w:t>.</w:t>
      </w:r>
    </w:p>
    <w:p w14:paraId="55FF65B0" w14:textId="77777777" w:rsidR="0040283B" w:rsidRDefault="0040283B">
      <w:r>
        <w:t>As a relative outsider</w:t>
      </w:r>
      <w:r w:rsidR="00744AA9">
        <w:t xml:space="preserve"> to the academic field of Education for Sustainability represented by this conference</w:t>
      </w:r>
      <w:r>
        <w:t xml:space="preserve">, it is immediately obvious that you are all offering </w:t>
      </w:r>
      <w:r w:rsidR="00744AA9" w:rsidRPr="00744AA9">
        <w:rPr>
          <w:i/>
        </w:rPr>
        <w:t xml:space="preserve">only </w:t>
      </w:r>
      <w:r w:rsidR="00AA3018" w:rsidRPr="00744AA9">
        <w:rPr>
          <w:i/>
        </w:rPr>
        <w:t>the first of these forms</w:t>
      </w:r>
      <w:r w:rsidR="00AA3018">
        <w:t xml:space="preserve">, essentially </w:t>
      </w:r>
      <w:r>
        <w:t xml:space="preserve">aromatherapy in an emergency situation. </w:t>
      </w:r>
      <w:r w:rsidR="00385379">
        <w:t>I find this surprising</w:t>
      </w:r>
      <w:r>
        <w:t>. How can it be?</w:t>
      </w:r>
    </w:p>
    <w:p w14:paraId="41ED0394" w14:textId="77777777" w:rsidR="0040283B" w:rsidRDefault="0040283B"/>
    <w:p w14:paraId="3CAF269F" w14:textId="27F502CB" w:rsidR="0040283B" w:rsidRDefault="0040283B">
      <w:r>
        <w:t xml:space="preserve">Let me go back a few steps. The very wide range of themes, activities and projects I saw at the conference were nearly all explored by the activist environmental movements in the 1970s. I know, I was there: I have been doing it since the sixties. The general aim was low-impact lifestyles that also delivered fulfilment. </w:t>
      </w:r>
      <w:r w:rsidR="00395E98">
        <w:t>In spite of some egregious mistakes, most elements were well-chosen</w:t>
      </w:r>
      <w:r w:rsidR="00C76D8D">
        <w:t>,</w:t>
      </w:r>
      <w:r w:rsidR="00395E98">
        <w:t xml:space="preserve"> and </w:t>
      </w:r>
      <w:r w:rsidR="00B6143D">
        <w:t>i</w:t>
      </w:r>
      <w:r w:rsidR="00CC0139">
        <w:t xml:space="preserve">t could be argued that if everybody had adopted such practices </w:t>
      </w:r>
      <w:r w:rsidR="00B6143D">
        <w:t xml:space="preserve">earlier, </w:t>
      </w:r>
      <w:r w:rsidR="00CC0139">
        <w:t xml:space="preserve">we would </w:t>
      </w:r>
      <w:r w:rsidR="00C76D8D">
        <w:t xml:space="preserve">now </w:t>
      </w:r>
      <w:r w:rsidR="00CC0139">
        <w:t xml:space="preserve">have a physically sustainable world. But of course </w:t>
      </w:r>
      <w:r w:rsidR="00E12BC0">
        <w:t>they</w:t>
      </w:r>
      <w:r w:rsidR="00CC0139">
        <w:t xml:space="preserve"> didn’</w:t>
      </w:r>
      <w:r w:rsidR="00395E98">
        <w:t xml:space="preserve">t, and </w:t>
      </w:r>
      <w:r w:rsidR="00C76D8D">
        <w:t>a generation later</w:t>
      </w:r>
      <w:r w:rsidR="00395E98">
        <w:t xml:space="preserve"> we are in a completely different situation that calls for quite a different approach.</w:t>
      </w:r>
    </w:p>
    <w:p w14:paraId="26698425" w14:textId="77777777" w:rsidR="00B6143D" w:rsidRDefault="00395E98">
      <w:r>
        <w:t>What seems to have happened is this. The explosion of eco-lifestyle initiatives in the seventies and eighties was patchily adopted by the broadly green community, and some elements were also adopted by trend-</w:t>
      </w:r>
      <w:r>
        <w:lastRenderedPageBreak/>
        <w:t>setters in the mainstream</w:t>
      </w:r>
      <w:r w:rsidR="00B6143D">
        <w:t>, giving rise to a substantial market in eco-chic</w:t>
      </w:r>
      <w:r>
        <w:t>. Young enthusiasts grew up, got jobs, entered the more amenable institutions and cast around for ways to embed</w:t>
      </w:r>
      <w:r w:rsidR="00C76D8D">
        <w:t xml:space="preserve"> and propagate their good ideas. One important result is that environmentalism and convivial lifestyles</w:t>
      </w:r>
      <w:r w:rsidR="00744AA9">
        <w:t xml:space="preserve"> eventually</w:t>
      </w:r>
      <w:r w:rsidR="00C76D8D">
        <w:t xml:space="preserve"> emerge</w:t>
      </w:r>
      <w:r w:rsidR="00744AA9">
        <w:t>d</w:t>
      </w:r>
      <w:r w:rsidR="00C76D8D">
        <w:t xml:space="preserve"> as </w:t>
      </w:r>
      <w:r w:rsidR="00C76D8D" w:rsidRPr="0081400F">
        <w:rPr>
          <w:i/>
        </w:rPr>
        <w:t>bona fide</w:t>
      </w:r>
      <w:r w:rsidR="00C76D8D">
        <w:t xml:space="preserve"> academic disciplines in universities, replete with courses, departments, journals, research and chairs.</w:t>
      </w:r>
      <w:r w:rsidR="00B6143D">
        <w:t xml:space="preserve"> And the students</w:t>
      </w:r>
      <w:r w:rsidR="00744AA9">
        <w:t xml:space="preserve"> love it</w:t>
      </w:r>
      <w:r w:rsidR="00B6143D">
        <w:t>: there’s a huge hunger for this kind of thing</w:t>
      </w:r>
      <w:r w:rsidR="0081400F">
        <w:t>;</w:t>
      </w:r>
      <w:r w:rsidR="00B6143D">
        <w:t xml:space="preserve"> and if you can get a degree and a job out of it, what’s not to like?</w:t>
      </w:r>
    </w:p>
    <w:p w14:paraId="38FF45E0" w14:textId="51032147" w:rsidR="00C76D8D" w:rsidRDefault="00C76D8D">
      <w:r>
        <w:t xml:space="preserve">But – to judge from what I saw at the Conference – </w:t>
      </w:r>
      <w:r w:rsidR="00385379">
        <w:t>the focus is entirely on</w:t>
      </w:r>
      <w:r w:rsidR="005D37EE">
        <w:t xml:space="preserve"> green lifestyles</w:t>
      </w:r>
      <w:r w:rsidR="00385379">
        <w:t xml:space="preserve">. Of course these are </w:t>
      </w:r>
      <w:proofErr w:type="gramStart"/>
      <w:r w:rsidR="00A40619">
        <w:t>important</w:t>
      </w:r>
      <w:proofErr w:type="gramEnd"/>
      <w:r w:rsidR="00A40619">
        <w:t xml:space="preserve"> and I applaud the fact that </w:t>
      </w:r>
      <w:r w:rsidR="00385379">
        <w:t>they are</w:t>
      </w:r>
      <w:r w:rsidR="00A40619">
        <w:t xml:space="preserve"> now being theorised and researched (and thereby improved) and also taught (and thereby propagated). It’s </w:t>
      </w:r>
      <w:r w:rsidR="00385379">
        <w:t xml:space="preserve">all </w:t>
      </w:r>
      <w:r w:rsidR="00A40619">
        <w:t>brilliant</w:t>
      </w:r>
      <w:r w:rsidR="00744AA9">
        <w:t xml:space="preserve"> in its own terms and if it had happened back in the seventies and eighties we’d have been overjoyed</w:t>
      </w:r>
      <w:r w:rsidR="00A40619">
        <w:t>. But it misses the crucial fact that</w:t>
      </w:r>
      <w:r w:rsidR="00744AA9">
        <w:t xml:space="preserve"> times have changed, and</w:t>
      </w:r>
      <w:r w:rsidR="00A40619">
        <w:t xml:space="preserve"> </w:t>
      </w:r>
      <w:r w:rsidR="00A40619" w:rsidRPr="00B6143D">
        <w:rPr>
          <w:i/>
        </w:rPr>
        <w:t>we now have a completely different problem on our hands</w:t>
      </w:r>
      <w:r w:rsidR="00A40619">
        <w:t>.</w:t>
      </w:r>
    </w:p>
    <w:p w14:paraId="34287253" w14:textId="77777777" w:rsidR="00A40619" w:rsidRDefault="00A40619">
      <w:r>
        <w:t xml:space="preserve">Perhaps some </w:t>
      </w:r>
      <w:r w:rsidR="0081400F">
        <w:t xml:space="preserve">of you </w:t>
      </w:r>
      <w:r>
        <w:t xml:space="preserve">would argue </w:t>
      </w:r>
      <w:r w:rsidR="005D37EE">
        <w:t xml:space="preserve">that </w:t>
      </w:r>
      <w:r>
        <w:t>this problem</w:t>
      </w:r>
      <w:r w:rsidR="00385379">
        <w:t xml:space="preserve"> – of preventing catastrophic risk – is</w:t>
      </w:r>
      <w:r w:rsidR="00744AA9">
        <w:t xml:space="preserve"> a different subject; in fact</w:t>
      </w:r>
      <w:r w:rsidR="00385379">
        <w:t xml:space="preserve"> </w:t>
      </w:r>
      <w:r w:rsidRPr="005D37EE">
        <w:rPr>
          <w:b/>
          <w:i/>
        </w:rPr>
        <w:t>so</w:t>
      </w:r>
      <w:r>
        <w:t xml:space="preserve"> different, it is none of your concern. Then whose concern is it? You have explicit</w:t>
      </w:r>
      <w:r w:rsidR="000418DA">
        <w:t>l</w:t>
      </w:r>
      <w:r>
        <w:t>y adopted the term ‘sustainability’ but have failed to examine its</w:t>
      </w:r>
      <w:r w:rsidR="000418DA">
        <w:t xml:space="preserve"> potential meanings. Surely the physical meaning of ‘unable to be sustained’ should take precedence?  What I saw at the conference was an unexamined assumption that anything vaguely cuddly and agreeable or green-sounding would be termed ‘sustainable’</w:t>
      </w:r>
      <w:r w:rsidR="00744AA9">
        <w:t>, while the more brutal physical meaning is simply ignored</w:t>
      </w:r>
      <w:r w:rsidR="000418DA">
        <w:t>. I am shocked. This is</w:t>
      </w:r>
      <w:r w:rsidR="005D37EE">
        <w:t xml:space="preserve"> not </w:t>
      </w:r>
      <w:r w:rsidR="000418DA">
        <w:t xml:space="preserve">scholarly. </w:t>
      </w:r>
      <w:r w:rsidR="0081400F">
        <w:t>You have run off with a perfectly explicit term and confounded its public meanings.</w:t>
      </w:r>
    </w:p>
    <w:p w14:paraId="0EB6ACBA" w14:textId="77777777" w:rsidR="000418DA" w:rsidRDefault="005D37EE">
      <w:r>
        <w:t>It</w:t>
      </w:r>
      <w:r w:rsidR="00B6143D">
        <w:t xml:space="preserve"> is perhaps not surprising that </w:t>
      </w:r>
      <w:r>
        <w:t>some</w:t>
      </w:r>
      <w:r w:rsidR="00B6143D">
        <w:t xml:space="preserve"> </w:t>
      </w:r>
      <w:r>
        <w:t>academics</w:t>
      </w:r>
      <w:r w:rsidR="00AA3018">
        <w:t xml:space="preserve"> </w:t>
      </w:r>
      <w:r>
        <w:t>would shy</w:t>
      </w:r>
      <w:r w:rsidR="00AA3018">
        <w:t xml:space="preserve"> away from the s</w:t>
      </w:r>
      <w:r w:rsidR="00B6143D">
        <w:t>eriously wicked problem of transformation</w:t>
      </w:r>
      <w:r w:rsidR="00AA3018">
        <w:t xml:space="preserve"> and go for more tractable problems easier both to teach and research. But</w:t>
      </w:r>
      <w:r>
        <w:t xml:space="preserve"> from what I can see it’s not just a few: you’ve all done it.   There is nobody left willing to </w:t>
      </w:r>
      <w:r w:rsidR="00AA3018">
        <w:t>focus on the emergency situation we are now faced with</w:t>
      </w:r>
      <w:r>
        <w:t xml:space="preserve">, and the </w:t>
      </w:r>
      <w:r w:rsidRPr="005D37EE">
        <w:rPr>
          <w:i/>
        </w:rPr>
        <w:t>really</w:t>
      </w:r>
      <w:r>
        <w:t xml:space="preserve"> radical changes it implies. If not us, then who?</w:t>
      </w:r>
      <w:r w:rsidR="00AA3018">
        <w:t xml:space="preserve"> </w:t>
      </w:r>
    </w:p>
    <w:p w14:paraId="110D157E" w14:textId="77777777" w:rsidR="00AA3018" w:rsidRDefault="00AA3018">
      <w:r>
        <w:t xml:space="preserve">I am sorry to say this, but it amounts to a kind of </w:t>
      </w:r>
      <w:proofErr w:type="spellStart"/>
      <w:r w:rsidRPr="00AA3018">
        <w:rPr>
          <w:i/>
        </w:rPr>
        <w:t>trah</w:t>
      </w:r>
      <w:r w:rsidR="005D37EE">
        <w:rPr>
          <w:i/>
        </w:rPr>
        <w:t>is</w:t>
      </w:r>
      <w:r w:rsidRPr="00AA3018">
        <w:rPr>
          <w:i/>
        </w:rPr>
        <w:t>on</w:t>
      </w:r>
      <w:proofErr w:type="spellEnd"/>
      <w:r w:rsidRPr="00AA3018">
        <w:rPr>
          <w:i/>
        </w:rPr>
        <w:t xml:space="preserve"> des </w:t>
      </w:r>
      <w:proofErr w:type="spellStart"/>
      <w:r w:rsidRPr="00AA3018">
        <w:rPr>
          <w:i/>
        </w:rPr>
        <w:t>clercs</w:t>
      </w:r>
      <w:proofErr w:type="spellEnd"/>
      <w:r>
        <w:t xml:space="preserve">.  From my perspective, what you seem to be doing is </w:t>
      </w:r>
      <w:r w:rsidR="005D37EE">
        <w:t xml:space="preserve">essentially ‘aromatherapy’, and </w:t>
      </w:r>
      <w:r>
        <w:t>producing a new generation of peer-reviewed hippies.</w:t>
      </w:r>
      <w:r w:rsidR="005D37EE">
        <w:t xml:space="preserve"> </w:t>
      </w:r>
      <w:r w:rsidR="00385379">
        <w:t>Would have been very welcome in the 70s. Ideal for the 22nd century. But n</w:t>
      </w:r>
      <w:r w:rsidR="0081400F">
        <w:t>ot what we need right now.</w:t>
      </w:r>
    </w:p>
    <w:p w14:paraId="3DFE45E9" w14:textId="77777777" w:rsidR="00385379" w:rsidRDefault="00385379">
      <w:r>
        <w:t>Argue me out of this.</w:t>
      </w:r>
    </w:p>
    <w:p w14:paraId="5ECCCBE4" w14:textId="21555835" w:rsidR="00CC0139" w:rsidRDefault="00CC0139"/>
    <w:p w14:paraId="6225A51F" w14:textId="593C751F" w:rsidR="004B5AC0" w:rsidRDefault="004B5AC0"/>
    <w:p w14:paraId="7F65FE73" w14:textId="06DF79F7" w:rsidR="004B5AC0" w:rsidRDefault="004B5AC0"/>
    <w:p w14:paraId="4656B9B1" w14:textId="081EA7A7" w:rsidR="004B5AC0" w:rsidRDefault="004B5AC0"/>
    <w:p w14:paraId="1B1257CF" w14:textId="29BF6523" w:rsidR="004B5AC0" w:rsidRDefault="004B5AC0"/>
    <w:p w14:paraId="2E97A763" w14:textId="0AFD593C" w:rsidR="004B5AC0" w:rsidRDefault="004B5AC0"/>
    <w:p w14:paraId="3455053A" w14:textId="3CB63EEA" w:rsidR="004B5AC0" w:rsidRDefault="004B5AC0"/>
    <w:p w14:paraId="36985D5E" w14:textId="0E42A822" w:rsidR="004B5AC0" w:rsidRDefault="004B5AC0"/>
    <w:p w14:paraId="2E38D0AF" w14:textId="77777777" w:rsidR="004B5AC0" w:rsidRDefault="004B5AC0"/>
    <w:p w14:paraId="71B6D845" w14:textId="560A26DD" w:rsidR="006F5F8A" w:rsidRDefault="006F5F8A"/>
    <w:p w14:paraId="2C7502EC" w14:textId="77777777" w:rsidR="004B5AC0" w:rsidRDefault="004B5AC0" w:rsidP="004B5AC0">
      <w:pPr>
        <w:rPr>
          <w:sz w:val="24"/>
        </w:rPr>
      </w:pPr>
    </w:p>
    <w:p w14:paraId="7B914D8D" w14:textId="77777777" w:rsidR="0070497B" w:rsidRDefault="0070497B" w:rsidP="004B5AC0">
      <w:pPr>
        <w:rPr>
          <w:sz w:val="28"/>
          <w:u w:val="single"/>
        </w:rPr>
      </w:pPr>
    </w:p>
    <w:p w14:paraId="7288D02E" w14:textId="77777777" w:rsidR="00FD50C3" w:rsidRDefault="00FD50C3" w:rsidP="004B5AC0">
      <w:pPr>
        <w:rPr>
          <w:sz w:val="28"/>
          <w:u w:val="single"/>
        </w:rPr>
      </w:pPr>
      <w:bookmarkStart w:id="0" w:name="_GoBack"/>
      <w:bookmarkEnd w:id="0"/>
    </w:p>
    <w:p w14:paraId="36850F64" w14:textId="77777777" w:rsidR="00426003" w:rsidRPr="00FD50C3" w:rsidRDefault="00426003" w:rsidP="00426003">
      <w:pPr>
        <w:jc w:val="center"/>
        <w:rPr>
          <w:sz w:val="28"/>
        </w:rPr>
      </w:pPr>
      <w:r w:rsidRPr="00426003">
        <w:rPr>
          <w:sz w:val="36"/>
        </w:rPr>
        <w:t>MICRO- AND MACRO-SUSTAINABILITY</w:t>
      </w:r>
    </w:p>
    <w:p w14:paraId="7BFDEBB5" w14:textId="243724BB" w:rsidR="00580017" w:rsidRPr="00580017" w:rsidRDefault="004B5AC0" w:rsidP="00426003">
      <w:pPr>
        <w:jc w:val="center"/>
        <w:rPr>
          <w:sz w:val="28"/>
          <w:u w:val="single"/>
        </w:rPr>
      </w:pPr>
      <w:r w:rsidRPr="00580017">
        <w:rPr>
          <w:sz w:val="28"/>
          <w:u w:val="single"/>
        </w:rPr>
        <w:t>A COMPARISON OF PHYSICALIST AND NON-PHYSICALIST APPROACHES</w:t>
      </w:r>
    </w:p>
    <w:p w14:paraId="7C7FCFD3" w14:textId="77777777" w:rsidR="003C3B2B" w:rsidRDefault="004B5AC0" w:rsidP="004B5AC0">
      <w:pPr>
        <w:rPr>
          <w:sz w:val="24"/>
        </w:rPr>
      </w:pPr>
      <w:r>
        <w:rPr>
          <w:sz w:val="24"/>
        </w:rPr>
        <w:t xml:space="preserve">This table has emerged, at least in part, as a result of correspondence with Professor Stephen Sterling of Plymouth University, arising from the previous set of comments.  I have argued that ‘education for sustainability’ is actually the reverse: </w:t>
      </w:r>
      <w:r w:rsidRPr="004B5AC0">
        <w:rPr>
          <w:i/>
          <w:sz w:val="24"/>
        </w:rPr>
        <w:t>sustainability for education</w:t>
      </w:r>
      <w:r>
        <w:rPr>
          <w:sz w:val="24"/>
        </w:rPr>
        <w:t xml:space="preserve">, that is, the use of sustainability themes and practices to produce well-rounded, fully educated, and strongly-motivated students. While this is entirely admirable, it is quite a different matter from the rapid transformation needed to decarbonise the world in at most two decades, the UK much faster. </w:t>
      </w:r>
    </w:p>
    <w:p w14:paraId="00F30702" w14:textId="087AFB19" w:rsidR="004B5AC0" w:rsidRDefault="004B5AC0" w:rsidP="004B5AC0">
      <w:r>
        <w:rPr>
          <w:sz w:val="24"/>
        </w:rPr>
        <w:t xml:space="preserve"> My gripe is that all this ‘micro-sustainability’ has captured and eviscerated the starker underlying meanings and implications of the word sustainability</w:t>
      </w:r>
      <w:r w:rsidR="003C3B2B">
        <w:rPr>
          <w:sz w:val="24"/>
        </w:rPr>
        <w:t>, and acts as a smokescreen obscuring the clarity of vision that is now needed</w:t>
      </w:r>
      <w:r>
        <w:rPr>
          <w:sz w:val="24"/>
        </w:rPr>
        <w:t>. I am now arguing for quite a different, and far more physicalist approach</w:t>
      </w:r>
      <w:r w:rsidR="003C3B2B">
        <w:rPr>
          <w:sz w:val="24"/>
        </w:rPr>
        <w:t>, which for the time being I shall call ‘macro-sustainability’. It won’t happen without someone making a fuss and calling a spade a spade. Here’s me throwing down the gauntlet.</w:t>
      </w:r>
    </w:p>
    <w:tbl>
      <w:tblPr>
        <w:tblStyle w:val="TableGrid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51"/>
      </w:tblGrid>
      <w:tr w:rsidR="00FD50C3" w14:paraId="4897E1C4" w14:textId="77777777" w:rsidTr="006C0B2E">
        <w:tc>
          <w:tcPr>
            <w:tcW w:w="2263" w:type="dxa"/>
            <w:vAlign w:val="center"/>
          </w:tcPr>
          <w:p w14:paraId="6DF6C4BF" w14:textId="77777777" w:rsidR="00FD50C3" w:rsidRDefault="00FD50C3" w:rsidP="006C0B2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EE6CB0C" w14:textId="77777777" w:rsidR="00FD50C3" w:rsidRDefault="00FD50C3" w:rsidP="006C0B2E">
            <w:pPr>
              <w:jc w:val="center"/>
            </w:pPr>
            <w:r>
              <w:t>MICRO-SUSTAINABILITY</w:t>
            </w:r>
          </w:p>
        </w:tc>
        <w:tc>
          <w:tcPr>
            <w:tcW w:w="3351" w:type="dxa"/>
            <w:vAlign w:val="center"/>
          </w:tcPr>
          <w:p w14:paraId="67086858" w14:textId="77777777" w:rsidR="00FD50C3" w:rsidRDefault="00FD50C3" w:rsidP="006C0B2E">
            <w:pPr>
              <w:jc w:val="center"/>
            </w:pPr>
            <w:r>
              <w:t>MACRO-SUSTAINABILITY</w:t>
            </w:r>
          </w:p>
        </w:tc>
      </w:tr>
      <w:tr w:rsidR="00FD50C3" w14:paraId="06E4134B" w14:textId="77777777" w:rsidTr="006C0B2E">
        <w:tc>
          <w:tcPr>
            <w:tcW w:w="2263" w:type="dxa"/>
            <w:vAlign w:val="center"/>
          </w:tcPr>
          <w:p w14:paraId="05BD0854" w14:textId="77777777" w:rsidR="00FD50C3" w:rsidRDefault="00FD50C3" w:rsidP="006C0B2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FF5361D" w14:textId="77777777" w:rsidR="00FD50C3" w:rsidRDefault="00FD50C3" w:rsidP="006C0B2E">
            <w:pPr>
              <w:jc w:val="center"/>
            </w:pPr>
            <w:r>
              <w:t>NON-PHYSICALIST</w:t>
            </w:r>
          </w:p>
        </w:tc>
        <w:tc>
          <w:tcPr>
            <w:tcW w:w="3351" w:type="dxa"/>
            <w:vAlign w:val="center"/>
          </w:tcPr>
          <w:p w14:paraId="3D29C7D5" w14:textId="77777777" w:rsidR="00FD50C3" w:rsidRDefault="00FD50C3" w:rsidP="006C0B2E">
            <w:pPr>
              <w:jc w:val="center"/>
            </w:pPr>
            <w:r>
              <w:t>PHYSICALIST</w:t>
            </w:r>
          </w:p>
        </w:tc>
      </w:tr>
      <w:tr w:rsidR="00FD50C3" w14:paraId="75D4525C" w14:textId="77777777" w:rsidTr="006C0B2E">
        <w:tc>
          <w:tcPr>
            <w:tcW w:w="2263" w:type="dxa"/>
            <w:vAlign w:val="center"/>
          </w:tcPr>
          <w:p w14:paraId="76C4E0B6" w14:textId="77777777" w:rsidR="00FD50C3" w:rsidRDefault="00FD50C3" w:rsidP="006C0B2E">
            <w:pPr>
              <w:jc w:val="center"/>
            </w:pPr>
            <w:r>
              <w:t>Tends to attract</w:t>
            </w:r>
          </w:p>
        </w:tc>
        <w:tc>
          <w:tcPr>
            <w:tcW w:w="3402" w:type="dxa"/>
            <w:vAlign w:val="center"/>
          </w:tcPr>
          <w:p w14:paraId="79ED965B" w14:textId="77777777" w:rsidR="00FD50C3" w:rsidRDefault="00FD50C3" w:rsidP="006C0B2E">
            <w:pPr>
              <w:jc w:val="center"/>
            </w:pPr>
            <w:r>
              <w:t>Social scientists, educators, humanities teachers</w:t>
            </w:r>
          </w:p>
        </w:tc>
        <w:tc>
          <w:tcPr>
            <w:tcW w:w="3351" w:type="dxa"/>
            <w:vAlign w:val="center"/>
          </w:tcPr>
          <w:p w14:paraId="2AAE2529" w14:textId="77777777" w:rsidR="00FD50C3" w:rsidRDefault="00FD50C3" w:rsidP="006C0B2E">
            <w:pPr>
              <w:jc w:val="center"/>
            </w:pPr>
            <w:r>
              <w:t>Physical scientists</w:t>
            </w:r>
          </w:p>
        </w:tc>
      </w:tr>
      <w:tr w:rsidR="00FD50C3" w14:paraId="777E162F" w14:textId="77777777" w:rsidTr="006C0B2E">
        <w:tc>
          <w:tcPr>
            <w:tcW w:w="2263" w:type="dxa"/>
            <w:vAlign w:val="center"/>
          </w:tcPr>
          <w:p w14:paraId="6D6883A9" w14:textId="77777777" w:rsidR="00FD50C3" w:rsidRDefault="00FD50C3" w:rsidP="006C0B2E">
            <w:pPr>
              <w:jc w:val="center"/>
            </w:pPr>
            <w:r>
              <w:t>Time horizon</w:t>
            </w:r>
          </w:p>
        </w:tc>
        <w:tc>
          <w:tcPr>
            <w:tcW w:w="3402" w:type="dxa"/>
            <w:vAlign w:val="center"/>
          </w:tcPr>
          <w:p w14:paraId="5D8FEE7E" w14:textId="77777777" w:rsidR="00FD50C3" w:rsidRDefault="00FD50C3" w:rsidP="006C0B2E">
            <w:pPr>
              <w:jc w:val="center"/>
            </w:pPr>
            <w:r>
              <w:t>Long: 100+ years</w:t>
            </w:r>
          </w:p>
        </w:tc>
        <w:tc>
          <w:tcPr>
            <w:tcW w:w="3351" w:type="dxa"/>
            <w:vAlign w:val="center"/>
          </w:tcPr>
          <w:p w14:paraId="75BD3A9A" w14:textId="77777777" w:rsidR="00FD50C3" w:rsidRDefault="00FD50C3" w:rsidP="006C0B2E">
            <w:pPr>
              <w:jc w:val="center"/>
            </w:pPr>
            <w:r>
              <w:t>Short: 20-50 years</w:t>
            </w:r>
          </w:p>
        </w:tc>
      </w:tr>
      <w:tr w:rsidR="00FD50C3" w14:paraId="4876966C" w14:textId="77777777" w:rsidTr="006C0B2E">
        <w:tc>
          <w:tcPr>
            <w:tcW w:w="2263" w:type="dxa"/>
            <w:vAlign w:val="center"/>
          </w:tcPr>
          <w:p w14:paraId="3B260D2C" w14:textId="77777777" w:rsidR="00FD50C3" w:rsidRDefault="00FD50C3" w:rsidP="006C0B2E">
            <w:pPr>
              <w:jc w:val="center"/>
            </w:pPr>
            <w:r>
              <w:t>Ethical perspective</w:t>
            </w:r>
          </w:p>
        </w:tc>
        <w:tc>
          <w:tcPr>
            <w:tcW w:w="3402" w:type="dxa"/>
            <w:vAlign w:val="center"/>
          </w:tcPr>
          <w:p w14:paraId="3DD433D1" w14:textId="77777777" w:rsidR="00FD50C3" w:rsidRDefault="00FD50C3" w:rsidP="006C0B2E">
            <w:pPr>
              <w:jc w:val="center"/>
            </w:pPr>
            <w:r>
              <w:t>Humanistic values maintained; aversion to ranking</w:t>
            </w:r>
          </w:p>
        </w:tc>
        <w:tc>
          <w:tcPr>
            <w:tcW w:w="3351" w:type="dxa"/>
            <w:vAlign w:val="center"/>
          </w:tcPr>
          <w:p w14:paraId="10D4A2CF" w14:textId="77777777" w:rsidR="00FD50C3" w:rsidRDefault="00FD50C3" w:rsidP="006C0B2E">
            <w:pPr>
              <w:jc w:val="center"/>
            </w:pPr>
            <w:r>
              <w:t xml:space="preserve">Emphasis on sequencing of action, ranking of processes and activities; ‘temporal </w:t>
            </w:r>
            <w:proofErr w:type="spellStart"/>
            <w:r>
              <w:t>Rawlsianism</w:t>
            </w:r>
            <w:proofErr w:type="spellEnd"/>
            <w:r>
              <w:t>’</w:t>
            </w:r>
          </w:p>
        </w:tc>
      </w:tr>
      <w:tr w:rsidR="00FD50C3" w14:paraId="2DAFB963" w14:textId="77777777" w:rsidTr="006C0B2E">
        <w:tc>
          <w:tcPr>
            <w:tcW w:w="2263" w:type="dxa"/>
            <w:vAlign w:val="center"/>
          </w:tcPr>
          <w:p w14:paraId="0875820F" w14:textId="77777777" w:rsidR="00FD50C3" w:rsidRDefault="00FD50C3" w:rsidP="006C0B2E">
            <w:pPr>
              <w:jc w:val="center"/>
            </w:pPr>
            <w:r>
              <w:t>Style</w:t>
            </w:r>
          </w:p>
        </w:tc>
        <w:tc>
          <w:tcPr>
            <w:tcW w:w="3402" w:type="dxa"/>
            <w:vAlign w:val="center"/>
          </w:tcPr>
          <w:p w14:paraId="1F0B1E3E" w14:textId="77777777" w:rsidR="00FD50C3" w:rsidRDefault="00FD50C3" w:rsidP="006C0B2E">
            <w:pPr>
              <w:jc w:val="center"/>
            </w:pPr>
            <w:r>
              <w:t>Holistic, wide/soft focus, both-and</w:t>
            </w:r>
          </w:p>
        </w:tc>
        <w:tc>
          <w:tcPr>
            <w:tcW w:w="3351" w:type="dxa"/>
            <w:vAlign w:val="center"/>
          </w:tcPr>
          <w:p w14:paraId="0893EB1F" w14:textId="77777777" w:rsidR="00FD50C3" w:rsidRDefault="00FD50C3" w:rsidP="006C0B2E">
            <w:pPr>
              <w:jc w:val="center"/>
            </w:pPr>
            <w:r>
              <w:t>Quantitative, logical, either-or</w:t>
            </w:r>
          </w:p>
        </w:tc>
      </w:tr>
      <w:tr w:rsidR="00FD50C3" w14:paraId="4C379AEB" w14:textId="77777777" w:rsidTr="006C0B2E">
        <w:tc>
          <w:tcPr>
            <w:tcW w:w="2263" w:type="dxa"/>
            <w:vAlign w:val="center"/>
          </w:tcPr>
          <w:p w14:paraId="4967DC7D" w14:textId="77777777" w:rsidR="00FD50C3" w:rsidRDefault="00FD50C3" w:rsidP="006C0B2E">
            <w:pPr>
              <w:jc w:val="center"/>
            </w:pPr>
            <w:r>
              <w:t>Logical frame</w:t>
            </w:r>
          </w:p>
        </w:tc>
        <w:tc>
          <w:tcPr>
            <w:tcW w:w="3402" w:type="dxa"/>
            <w:vAlign w:val="center"/>
          </w:tcPr>
          <w:p w14:paraId="308272DD" w14:textId="77777777" w:rsidR="00FD50C3" w:rsidRDefault="00FD50C3" w:rsidP="006C0B2E">
            <w:pPr>
              <w:jc w:val="center"/>
            </w:pPr>
            <w:r>
              <w:t>Using sustainability patterns to educate students</w:t>
            </w:r>
          </w:p>
        </w:tc>
        <w:tc>
          <w:tcPr>
            <w:tcW w:w="3351" w:type="dxa"/>
            <w:vAlign w:val="center"/>
          </w:tcPr>
          <w:p w14:paraId="177D5EC1" w14:textId="77777777" w:rsidR="00FD50C3" w:rsidRDefault="00FD50C3" w:rsidP="006C0B2E">
            <w:pPr>
              <w:jc w:val="center"/>
            </w:pPr>
            <w:r>
              <w:t xml:space="preserve">Using educational techniques to communicate </w:t>
            </w:r>
          </w:p>
          <w:p w14:paraId="3FA8DD1E" w14:textId="77777777" w:rsidR="00FD50C3" w:rsidRDefault="00FD50C3" w:rsidP="006C0B2E">
            <w:pPr>
              <w:jc w:val="center"/>
            </w:pPr>
            <w:r>
              <w:t>sustainability patterns</w:t>
            </w:r>
          </w:p>
        </w:tc>
      </w:tr>
      <w:tr w:rsidR="00FD50C3" w14:paraId="2EC5D66C" w14:textId="77777777" w:rsidTr="006C0B2E">
        <w:tc>
          <w:tcPr>
            <w:tcW w:w="2263" w:type="dxa"/>
            <w:vAlign w:val="center"/>
          </w:tcPr>
          <w:p w14:paraId="0C3F0D1B" w14:textId="77777777" w:rsidR="00FD50C3" w:rsidRDefault="00FD50C3" w:rsidP="006C0B2E">
            <w:pPr>
              <w:jc w:val="center"/>
            </w:pPr>
            <w:r>
              <w:t>Aim</w:t>
            </w:r>
          </w:p>
        </w:tc>
        <w:tc>
          <w:tcPr>
            <w:tcW w:w="3402" w:type="dxa"/>
            <w:vAlign w:val="center"/>
          </w:tcPr>
          <w:p w14:paraId="69E66F37" w14:textId="77777777" w:rsidR="00FD50C3" w:rsidRDefault="00FD50C3" w:rsidP="006C0B2E">
            <w:pPr>
              <w:jc w:val="center"/>
            </w:pPr>
            <w:r>
              <w:t>To produce better citizens with humanistic sustainability values and skills</w:t>
            </w:r>
          </w:p>
        </w:tc>
        <w:tc>
          <w:tcPr>
            <w:tcW w:w="3351" w:type="dxa"/>
            <w:vAlign w:val="center"/>
          </w:tcPr>
          <w:p w14:paraId="484589D7" w14:textId="77777777" w:rsidR="00FD50C3" w:rsidRDefault="00FD50C3" w:rsidP="006C0B2E">
            <w:pPr>
              <w:jc w:val="center"/>
            </w:pPr>
            <w:r>
              <w:t>To produce critically informed graduates and professional fuss-makers</w:t>
            </w:r>
          </w:p>
        </w:tc>
      </w:tr>
      <w:tr w:rsidR="00FD50C3" w14:paraId="4234046D" w14:textId="77777777" w:rsidTr="006C0B2E">
        <w:tc>
          <w:tcPr>
            <w:tcW w:w="2263" w:type="dxa"/>
            <w:vAlign w:val="center"/>
          </w:tcPr>
          <w:p w14:paraId="76BFB47D" w14:textId="77777777" w:rsidR="00FD50C3" w:rsidRDefault="00FD50C3" w:rsidP="006C0B2E">
            <w:pPr>
              <w:jc w:val="center"/>
            </w:pPr>
            <w:r>
              <w:t>Attitude to ‘triple bottom line’ framework</w:t>
            </w:r>
          </w:p>
        </w:tc>
        <w:tc>
          <w:tcPr>
            <w:tcW w:w="3402" w:type="dxa"/>
            <w:vAlign w:val="center"/>
          </w:tcPr>
          <w:p w14:paraId="337C15A6" w14:textId="77777777" w:rsidR="00FD50C3" w:rsidRDefault="00FD50C3" w:rsidP="006C0B2E">
            <w:pPr>
              <w:jc w:val="center"/>
            </w:pPr>
            <w:r>
              <w:t>The factors are co-equal: ‘Trinitarian’</w:t>
            </w:r>
          </w:p>
        </w:tc>
        <w:tc>
          <w:tcPr>
            <w:tcW w:w="3351" w:type="dxa"/>
            <w:vAlign w:val="center"/>
          </w:tcPr>
          <w:p w14:paraId="3A574D0F" w14:textId="77777777" w:rsidR="00FD50C3" w:rsidRDefault="00FD50C3" w:rsidP="006C0B2E">
            <w:pPr>
              <w:jc w:val="center"/>
            </w:pPr>
            <w:r>
              <w:t>Physical factors primary: ‘Unitarian’</w:t>
            </w:r>
          </w:p>
        </w:tc>
      </w:tr>
      <w:tr w:rsidR="00FD50C3" w14:paraId="34375FD9" w14:textId="77777777" w:rsidTr="006C0B2E">
        <w:tc>
          <w:tcPr>
            <w:tcW w:w="2263" w:type="dxa"/>
            <w:vAlign w:val="center"/>
          </w:tcPr>
          <w:p w14:paraId="609AAA7A" w14:textId="77777777" w:rsidR="00FD50C3" w:rsidRDefault="00FD50C3" w:rsidP="006C0B2E">
            <w:pPr>
              <w:jc w:val="center"/>
            </w:pPr>
            <w:r>
              <w:t>Operating space for humanity</w:t>
            </w:r>
          </w:p>
        </w:tc>
        <w:tc>
          <w:tcPr>
            <w:tcW w:w="3402" w:type="dxa"/>
            <w:vAlign w:val="center"/>
          </w:tcPr>
          <w:p w14:paraId="288B0534" w14:textId="77777777" w:rsidR="00FD50C3" w:rsidRDefault="00FD50C3" w:rsidP="006C0B2E">
            <w:pPr>
              <w:jc w:val="center"/>
            </w:pPr>
            <w:proofErr w:type="spellStart"/>
            <w:r>
              <w:t>Raworth</w:t>
            </w:r>
            <w:proofErr w:type="spellEnd"/>
            <w:r>
              <w:t xml:space="preserve"> doughnut</w:t>
            </w:r>
          </w:p>
        </w:tc>
        <w:tc>
          <w:tcPr>
            <w:tcW w:w="3351" w:type="dxa"/>
            <w:vAlign w:val="center"/>
          </w:tcPr>
          <w:p w14:paraId="78537188" w14:textId="77777777" w:rsidR="00FD50C3" w:rsidRDefault="00FD50C3" w:rsidP="006C0B2E">
            <w:pPr>
              <w:jc w:val="center"/>
            </w:pPr>
            <w:proofErr w:type="spellStart"/>
            <w:r>
              <w:t>Rockstr</w:t>
            </w:r>
            <w:r>
              <w:rPr>
                <w:rFonts w:cstheme="minorHAnsi"/>
              </w:rPr>
              <w:t>ö</w:t>
            </w:r>
            <w:r>
              <w:t>m</w:t>
            </w:r>
            <w:proofErr w:type="spellEnd"/>
            <w:r>
              <w:t xml:space="preserve"> radar</w:t>
            </w:r>
          </w:p>
        </w:tc>
      </w:tr>
      <w:tr w:rsidR="00FD50C3" w14:paraId="3D6944D9" w14:textId="77777777" w:rsidTr="006C0B2E">
        <w:tc>
          <w:tcPr>
            <w:tcW w:w="2263" w:type="dxa"/>
            <w:vAlign w:val="center"/>
          </w:tcPr>
          <w:p w14:paraId="4B64E1F8" w14:textId="77777777" w:rsidR="00FD50C3" w:rsidRDefault="00FD50C3" w:rsidP="006C0B2E">
            <w:pPr>
              <w:jc w:val="center"/>
            </w:pPr>
            <w:r>
              <w:t>Mode</w:t>
            </w:r>
          </w:p>
        </w:tc>
        <w:tc>
          <w:tcPr>
            <w:tcW w:w="3402" w:type="dxa"/>
            <w:vAlign w:val="center"/>
          </w:tcPr>
          <w:p w14:paraId="783DD4A3" w14:textId="77777777" w:rsidR="00FD50C3" w:rsidRDefault="00FD50C3" w:rsidP="006C0B2E">
            <w:pPr>
              <w:jc w:val="center"/>
            </w:pPr>
            <w:r>
              <w:t>Bottom-up, ‘leading by example’</w:t>
            </w:r>
          </w:p>
        </w:tc>
        <w:tc>
          <w:tcPr>
            <w:tcW w:w="3351" w:type="dxa"/>
            <w:vAlign w:val="center"/>
          </w:tcPr>
          <w:p w14:paraId="7713607B" w14:textId="77777777" w:rsidR="00FD50C3" w:rsidRDefault="00FD50C3" w:rsidP="006C0B2E">
            <w:pPr>
              <w:jc w:val="center"/>
            </w:pPr>
            <w:r>
              <w:t>Top-down, ‘democratic dirigisme’</w:t>
            </w:r>
          </w:p>
        </w:tc>
      </w:tr>
      <w:tr w:rsidR="00FD50C3" w14:paraId="43069FC8" w14:textId="77777777" w:rsidTr="006C0B2E">
        <w:tc>
          <w:tcPr>
            <w:tcW w:w="2263" w:type="dxa"/>
            <w:vAlign w:val="center"/>
          </w:tcPr>
          <w:p w14:paraId="0A82FD8B" w14:textId="77777777" w:rsidR="00FD50C3" w:rsidRDefault="00FD50C3" w:rsidP="006C0B2E">
            <w:pPr>
              <w:jc w:val="center"/>
            </w:pPr>
            <w:r>
              <w:t>Focus</w:t>
            </w:r>
          </w:p>
        </w:tc>
        <w:tc>
          <w:tcPr>
            <w:tcW w:w="3402" w:type="dxa"/>
            <w:vAlign w:val="center"/>
          </w:tcPr>
          <w:p w14:paraId="5E4586A0" w14:textId="77777777" w:rsidR="00FD50C3" w:rsidRDefault="00FD50C3" w:rsidP="006C0B2E">
            <w:pPr>
              <w:jc w:val="center"/>
            </w:pPr>
            <w:r>
              <w:t>Political/economic/social response to physical challenges</w:t>
            </w:r>
          </w:p>
        </w:tc>
        <w:tc>
          <w:tcPr>
            <w:tcW w:w="3351" w:type="dxa"/>
            <w:vAlign w:val="center"/>
          </w:tcPr>
          <w:p w14:paraId="2C4A8CC1" w14:textId="77777777" w:rsidR="00FD50C3" w:rsidRDefault="00FD50C3" w:rsidP="006C0B2E">
            <w:pPr>
              <w:jc w:val="center"/>
            </w:pPr>
            <w:r>
              <w:t>Physical response to physical challenges; social and economic factors considered secondary</w:t>
            </w:r>
          </w:p>
        </w:tc>
      </w:tr>
      <w:tr w:rsidR="00FD50C3" w14:paraId="5C2F4D46" w14:textId="77777777" w:rsidTr="006C0B2E">
        <w:tc>
          <w:tcPr>
            <w:tcW w:w="2263" w:type="dxa"/>
            <w:vAlign w:val="center"/>
          </w:tcPr>
          <w:p w14:paraId="702C830F" w14:textId="77777777" w:rsidR="00FD50C3" w:rsidRDefault="00FD50C3" w:rsidP="006C0B2E">
            <w:pPr>
              <w:jc w:val="center"/>
            </w:pPr>
            <w:r>
              <w:t>Status</w:t>
            </w:r>
          </w:p>
        </w:tc>
        <w:tc>
          <w:tcPr>
            <w:tcW w:w="3402" w:type="dxa"/>
            <w:vAlign w:val="center"/>
          </w:tcPr>
          <w:p w14:paraId="76ACDA9F" w14:textId="77777777" w:rsidR="00FD50C3" w:rsidRDefault="00FD50C3" w:rsidP="006C0B2E">
            <w:pPr>
              <w:jc w:val="center"/>
            </w:pPr>
            <w:r>
              <w:t>Orthodoxy, embracing a widely-understood meaning of ‘sustainability’</w:t>
            </w:r>
          </w:p>
        </w:tc>
        <w:tc>
          <w:tcPr>
            <w:tcW w:w="3351" w:type="dxa"/>
            <w:vAlign w:val="center"/>
          </w:tcPr>
          <w:p w14:paraId="604BEF7C" w14:textId="77777777" w:rsidR="00FD50C3" w:rsidRDefault="00FD50C3" w:rsidP="006C0B2E">
            <w:pPr>
              <w:jc w:val="center"/>
            </w:pPr>
            <w:r>
              <w:t>Minority: Conception of sustainability too literal for widespread acceptance</w:t>
            </w:r>
          </w:p>
        </w:tc>
      </w:tr>
      <w:tr w:rsidR="00FD50C3" w14:paraId="453CDEC3" w14:textId="77777777" w:rsidTr="006C0B2E">
        <w:tc>
          <w:tcPr>
            <w:tcW w:w="2263" w:type="dxa"/>
            <w:vAlign w:val="center"/>
          </w:tcPr>
          <w:p w14:paraId="1DB45F7B" w14:textId="77777777" w:rsidR="00FD50C3" w:rsidRDefault="00FD50C3" w:rsidP="006C0B2E">
            <w:pPr>
              <w:jc w:val="center"/>
            </w:pPr>
            <w:r>
              <w:t>Structural basis</w:t>
            </w:r>
          </w:p>
        </w:tc>
        <w:tc>
          <w:tcPr>
            <w:tcW w:w="3402" w:type="dxa"/>
            <w:vAlign w:val="center"/>
          </w:tcPr>
          <w:p w14:paraId="2BBFBE7D" w14:textId="77777777" w:rsidR="00FD50C3" w:rsidRDefault="00FD50C3" w:rsidP="006C0B2E">
            <w:pPr>
              <w:jc w:val="center"/>
            </w:pPr>
            <w:r>
              <w:t xml:space="preserve">Highly theorised; </w:t>
            </w:r>
          </w:p>
          <w:p w14:paraId="75FB7BDA" w14:textId="77777777" w:rsidR="00FD50C3" w:rsidRDefault="00FD50C3" w:rsidP="006C0B2E">
            <w:pPr>
              <w:jc w:val="center"/>
            </w:pPr>
            <w:r>
              <w:t>academic ‘cult of complexity’?</w:t>
            </w:r>
          </w:p>
        </w:tc>
        <w:tc>
          <w:tcPr>
            <w:tcW w:w="3351" w:type="dxa"/>
            <w:vAlign w:val="center"/>
          </w:tcPr>
          <w:p w14:paraId="4BCB4E1C" w14:textId="77777777" w:rsidR="00FD50C3" w:rsidRDefault="00FD50C3" w:rsidP="006C0B2E">
            <w:pPr>
              <w:jc w:val="center"/>
            </w:pPr>
            <w:r>
              <w:t xml:space="preserve">Based on simple, </w:t>
            </w:r>
          </w:p>
          <w:p w14:paraId="51806203" w14:textId="77777777" w:rsidR="00FD50C3" w:rsidRDefault="00FD50C3" w:rsidP="006C0B2E">
            <w:pPr>
              <w:jc w:val="center"/>
            </w:pPr>
            <w:r>
              <w:t>basic ‘Piagetian’ concepts</w:t>
            </w:r>
          </w:p>
        </w:tc>
      </w:tr>
      <w:tr w:rsidR="00FD50C3" w14:paraId="7A3AE5C7" w14:textId="77777777" w:rsidTr="006C0B2E">
        <w:tc>
          <w:tcPr>
            <w:tcW w:w="2263" w:type="dxa"/>
            <w:vAlign w:val="center"/>
          </w:tcPr>
          <w:p w14:paraId="4B3AB83B" w14:textId="77777777" w:rsidR="00FD50C3" w:rsidRDefault="00FD50C3" w:rsidP="006C0B2E">
            <w:pPr>
              <w:jc w:val="center"/>
            </w:pPr>
            <w:r>
              <w:lastRenderedPageBreak/>
              <w:t>Locus</w:t>
            </w:r>
          </w:p>
        </w:tc>
        <w:tc>
          <w:tcPr>
            <w:tcW w:w="3402" w:type="dxa"/>
            <w:vAlign w:val="center"/>
          </w:tcPr>
          <w:p w14:paraId="26BA7DA9" w14:textId="77777777" w:rsidR="00FD50C3" w:rsidRDefault="00FD50C3" w:rsidP="006C0B2E">
            <w:pPr>
              <w:jc w:val="center"/>
            </w:pPr>
            <w:r>
              <w:t>More common in new universities</w:t>
            </w:r>
          </w:p>
        </w:tc>
        <w:tc>
          <w:tcPr>
            <w:tcW w:w="3351" w:type="dxa"/>
            <w:vAlign w:val="center"/>
          </w:tcPr>
          <w:p w14:paraId="5B738825" w14:textId="77777777" w:rsidR="00FD50C3" w:rsidRDefault="00FD50C3" w:rsidP="006C0B2E">
            <w:pPr>
              <w:jc w:val="center"/>
            </w:pPr>
            <w:r>
              <w:t>Uncommon</w:t>
            </w:r>
          </w:p>
        </w:tc>
      </w:tr>
    </w:tbl>
    <w:p w14:paraId="06608C68" w14:textId="77777777" w:rsidR="004B5AC0" w:rsidRDefault="004B5AC0" w:rsidP="004B5AC0"/>
    <w:p w14:paraId="5E81C24D" w14:textId="77777777" w:rsidR="004B5AC0" w:rsidRDefault="004B5AC0"/>
    <w:sectPr w:rsidR="004B5AC0" w:rsidSect="00FD50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29"/>
    <w:rsid w:val="00002AEE"/>
    <w:rsid w:val="000418DA"/>
    <w:rsid w:val="00106529"/>
    <w:rsid w:val="00385379"/>
    <w:rsid w:val="00395E98"/>
    <w:rsid w:val="003C3B2B"/>
    <w:rsid w:val="0040283B"/>
    <w:rsid w:val="00426003"/>
    <w:rsid w:val="004B5AC0"/>
    <w:rsid w:val="00580017"/>
    <w:rsid w:val="005D37EE"/>
    <w:rsid w:val="006F5F8A"/>
    <w:rsid w:val="0070497B"/>
    <w:rsid w:val="00744AA9"/>
    <w:rsid w:val="007D526E"/>
    <w:rsid w:val="0081400F"/>
    <w:rsid w:val="00A40619"/>
    <w:rsid w:val="00AA3018"/>
    <w:rsid w:val="00B6143D"/>
    <w:rsid w:val="00C30830"/>
    <w:rsid w:val="00C76D8D"/>
    <w:rsid w:val="00CC0139"/>
    <w:rsid w:val="00D10B7A"/>
    <w:rsid w:val="00E12BC0"/>
    <w:rsid w:val="00ED0786"/>
    <w:rsid w:val="00F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9EAB"/>
  <w15:chartTrackingRefBased/>
  <w15:docId w15:val="{469245E7-55C7-4986-9651-03DD03D8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Harper</dc:creator>
  <cp:keywords/>
  <dc:description/>
  <cp:lastModifiedBy>Peter Harper</cp:lastModifiedBy>
  <cp:revision>2</cp:revision>
  <dcterms:created xsi:type="dcterms:W3CDTF">2018-11-05T16:36:00Z</dcterms:created>
  <dcterms:modified xsi:type="dcterms:W3CDTF">2018-11-05T16:36:00Z</dcterms:modified>
</cp:coreProperties>
</file>