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44" w:rsidRDefault="003A55AE">
      <w:pPr>
        <w:rPr>
          <w:b/>
          <w:sz w:val="28"/>
        </w:rPr>
      </w:pPr>
      <w:r w:rsidRPr="00C369D6">
        <w:rPr>
          <w:b/>
          <w:sz w:val="28"/>
        </w:rPr>
        <w:t>BUILDING MATERIALS DERIVED FROM MISCANTHUS</w:t>
      </w:r>
    </w:p>
    <w:p w:rsidR="00794DCE" w:rsidRPr="00C369D6" w:rsidRDefault="003E2B44">
      <w:pPr>
        <w:rPr>
          <w:b/>
          <w:sz w:val="28"/>
        </w:rPr>
      </w:pPr>
      <w:r>
        <w:rPr>
          <w:b/>
          <w:sz w:val="28"/>
        </w:rPr>
        <w:t>(AND OTHER HIGH-YIELDING CELLULOSIC CROPS)</w:t>
      </w:r>
    </w:p>
    <w:p w:rsidR="00C369D6" w:rsidRDefault="00C369D6">
      <w:r>
        <w:t>A suggestion from Peter Harper</w:t>
      </w:r>
    </w:p>
    <w:p w:rsidR="003A55AE" w:rsidRDefault="003A55AE">
      <w:bookmarkStart w:id="0" w:name="_GoBack"/>
      <w:bookmarkEnd w:id="0"/>
    </w:p>
    <w:p w:rsidR="003A55AE" w:rsidRDefault="003A55AE">
      <w:r>
        <w:t xml:space="preserve">Miscanthus is normally grown as an energy crop, but other potential uses deserve exploration. </w:t>
      </w:r>
      <w:r w:rsidR="00DB2875">
        <w:t xml:space="preserve">In a ‘decarbonisation’ context, use as </w:t>
      </w:r>
      <w:r>
        <w:t>a sequestration material</w:t>
      </w:r>
      <w:r w:rsidR="00757DD6">
        <w:t xml:space="preserve"> </w:t>
      </w:r>
      <w:r w:rsidR="00DB2875">
        <w:t>could be more important, and</w:t>
      </w:r>
      <w:r>
        <w:t xml:space="preserve"> economically advantageous under conditions of high carbon prices, since sequestration is carbon-negative, while energy is at best carbon-neutral. Several recent analyses of the climate situation suggest that internationally-agreed targets cannot be met without net-negative processes (Anderson and Bows</w:t>
      </w:r>
      <w:r w:rsidR="004D2E11">
        <w:t>, 2008)</w:t>
      </w:r>
      <w:r>
        <w:t xml:space="preserve">, and of </w:t>
      </w:r>
      <w:r w:rsidR="00757DD6">
        <w:t>the wide variety of</w:t>
      </w:r>
      <w:r>
        <w:t xml:space="preserve"> </w:t>
      </w:r>
      <w:r w:rsidR="00B93311">
        <w:t>counter-forcing processes, growing and sequestering plant material has the best pedigree</w:t>
      </w:r>
      <w:r w:rsidR="004D2E11">
        <w:t xml:space="preserve"> (</w:t>
      </w:r>
      <w:proofErr w:type="spellStart"/>
      <w:r w:rsidR="004D2E11">
        <w:t>Lal</w:t>
      </w:r>
      <w:proofErr w:type="spellEnd"/>
      <w:r w:rsidR="004D2E11">
        <w:t>, 2008)</w:t>
      </w:r>
    </w:p>
    <w:p w:rsidR="00B93311" w:rsidRDefault="00B93311"/>
    <w:p w:rsidR="00B93311" w:rsidRDefault="00B93311">
      <w:r>
        <w:t xml:space="preserve">Biomass crops like miscanthus can in principle be harvested and stored </w:t>
      </w:r>
      <w:r w:rsidR="00757DD6">
        <w:t>(</w:t>
      </w:r>
      <w:r>
        <w:t>or sequestere</w:t>
      </w:r>
      <w:r w:rsidR="00C369D6">
        <w:t>d</w:t>
      </w:r>
      <w:r w:rsidR="00757DD6">
        <w:t>)</w:t>
      </w:r>
      <w:r w:rsidR="00C369D6">
        <w:t xml:space="preserve"> by deliberate burial on land (</w:t>
      </w:r>
      <w:r w:rsidR="00CC4B4B">
        <w:t>Zeng</w:t>
      </w:r>
      <w:r w:rsidR="00757DD6">
        <w:t>,</w:t>
      </w:r>
      <w:r w:rsidR="00CC4B4B">
        <w:t xml:space="preserve"> 2008</w:t>
      </w:r>
      <w:r>
        <w:t>) or in the deep ocean (</w:t>
      </w:r>
      <w:r w:rsidR="00CC4B4B">
        <w:t xml:space="preserve">Strand and </w:t>
      </w:r>
      <w:proofErr w:type="spellStart"/>
      <w:r w:rsidR="00CC4B4B">
        <w:t>Benford</w:t>
      </w:r>
      <w:proofErr w:type="spellEnd"/>
      <w:r w:rsidR="00CC4B4B">
        <w:t>, 2009</w:t>
      </w:r>
      <w:r>
        <w:t xml:space="preserve">). A more attractive and economically favourable fate might be to incorporate miscanthus biomass into goods (as biopolymers after appropriate chemical transformations) or into </w:t>
      </w:r>
      <w:r w:rsidRPr="00C369D6">
        <w:rPr>
          <w:b/>
        </w:rPr>
        <w:t>buildings</w:t>
      </w:r>
      <w:r>
        <w:t xml:space="preserve"> (</w:t>
      </w:r>
      <w:r w:rsidR="00C369D6">
        <w:t xml:space="preserve">for example </w:t>
      </w:r>
      <w:r>
        <w:t xml:space="preserve">as </w:t>
      </w:r>
      <w:proofErr w:type="spellStart"/>
      <w:r>
        <w:t>biocomposites</w:t>
      </w:r>
      <w:proofErr w:type="spellEnd"/>
      <w:r>
        <w:t xml:space="preserve"> or compressed boards</w:t>
      </w:r>
      <w:r w:rsidR="00785AFE">
        <w:t xml:space="preserve">, </w:t>
      </w:r>
      <w:proofErr w:type="spellStart"/>
      <w:r w:rsidR="00785AFE">
        <w:t>Biocomposites</w:t>
      </w:r>
      <w:proofErr w:type="spellEnd"/>
      <w:r w:rsidR="00785AFE">
        <w:t xml:space="preserve"> Centre, 2011</w:t>
      </w:r>
      <w:r w:rsidR="00E86F5E">
        <w:t>).</w:t>
      </w:r>
    </w:p>
    <w:p w:rsidR="00E86F5E" w:rsidRDefault="00E86F5E"/>
    <w:p w:rsidR="00E86F5E" w:rsidRDefault="00E86F5E">
      <w:r>
        <w:t xml:space="preserve">Incorporation into buildings is particularly attractive because it might serve many functions in addition to sequestration. Insulation is an obvious example, and can be compared with </w:t>
      </w:r>
      <w:proofErr w:type="gramStart"/>
      <w:r>
        <w:t>the  now</w:t>
      </w:r>
      <w:proofErr w:type="gramEnd"/>
      <w:r>
        <w:t xml:space="preserve"> widely-used hemp-lime composite, commonl</w:t>
      </w:r>
      <w:r w:rsidR="00785AFE">
        <w:t>y sprayed into a shuttered void</w:t>
      </w:r>
      <w:r w:rsidR="00CC4B4B">
        <w:t xml:space="preserve"> (Bevan and Woolley, 2008).</w:t>
      </w:r>
      <w:r w:rsidR="009872AE">
        <w:t xml:space="preserve"> This assumes a pre-existing structure to which loose non-structural materials can be added in various ways. If the principal structure is wood, this can already provider a ‘carbon credit’ and calculations have been carried out to assess the value of this aspect </w:t>
      </w:r>
      <w:r w:rsidR="00785AFE">
        <w:t xml:space="preserve">of wood in buildings </w:t>
      </w:r>
      <w:r w:rsidR="009872AE">
        <w:t>(Forestry Commission</w:t>
      </w:r>
      <w:r w:rsidR="00747590">
        <w:t xml:space="preserve"> Scotland, 2009</w:t>
      </w:r>
      <w:r w:rsidR="009872AE">
        <w:t>). Further non-structural</w:t>
      </w:r>
      <w:r w:rsidR="00A3638D">
        <w:t xml:space="preserve"> bio</w:t>
      </w:r>
      <w:r w:rsidR="009872AE">
        <w:t>mass materials would increase this value.</w:t>
      </w:r>
    </w:p>
    <w:p w:rsidR="009872AE" w:rsidRDefault="009872AE"/>
    <w:p w:rsidR="009872AE" w:rsidRPr="00785AFE" w:rsidRDefault="00A3638D">
      <w:pPr>
        <w:rPr>
          <w:i/>
        </w:rPr>
      </w:pPr>
      <w:r>
        <w:t>Materials like hemp and mis</w:t>
      </w:r>
      <w:r w:rsidR="009872AE">
        <w:t xml:space="preserve">canthus suggest yet another possibility: </w:t>
      </w:r>
      <w:r w:rsidR="00785AFE">
        <w:t xml:space="preserve">their </w:t>
      </w:r>
      <w:r w:rsidR="009872AE">
        <w:t>use a</w:t>
      </w:r>
      <w:r>
        <w:t xml:space="preserve">s </w:t>
      </w:r>
      <w:r w:rsidRPr="00785AFE">
        <w:rPr>
          <w:b/>
        </w:rPr>
        <w:t>structural</w:t>
      </w:r>
      <w:r>
        <w:t xml:space="preserve"> materials in </w:t>
      </w:r>
      <w:r w:rsidR="009872AE">
        <w:t>much larger quantities. There are of course innumerable examples of pure-tension structures that do not incorporate rigid materials like timber, steel or pre-stressed concrete</w:t>
      </w:r>
      <w:r>
        <w:t xml:space="preserve"> (</w:t>
      </w:r>
      <w:proofErr w:type="spellStart"/>
      <w:r w:rsidR="00F002CE">
        <w:t>Fitchen</w:t>
      </w:r>
      <w:proofErr w:type="spellEnd"/>
      <w:r w:rsidR="00F002CE">
        <w:t>, 1961</w:t>
      </w:r>
      <w:r w:rsidR="00785AFE">
        <w:t>;</w:t>
      </w:r>
      <w:r w:rsidR="00F002CE">
        <w:t xml:space="preserve"> </w:t>
      </w:r>
      <w:proofErr w:type="spellStart"/>
      <w:r>
        <w:t>Fathy</w:t>
      </w:r>
      <w:proofErr w:type="spellEnd"/>
      <w:r w:rsidR="00747590">
        <w:t xml:space="preserve"> 1976</w:t>
      </w:r>
      <w:r>
        <w:t>)</w:t>
      </w:r>
      <w:r w:rsidR="009872AE">
        <w:t>. The disadvantage of avoiding rigid elements is that usually a great deal more material is required. Since materials are costly</w:t>
      </w:r>
      <w:r>
        <w:t>,</w:t>
      </w:r>
      <w:r w:rsidR="009872AE">
        <w:t xml:space="preserve"> </w:t>
      </w:r>
      <w:r>
        <w:t>archit</w:t>
      </w:r>
      <w:r w:rsidR="009872AE">
        <w:t>ects have developed a strong instinct for minimising the mass of materials employed. But if there are positive benefits and cash flows associated with</w:t>
      </w:r>
      <w:r>
        <w:t xml:space="preserve"> the use of some materials, </w:t>
      </w:r>
      <w:r w:rsidRPr="00785AFE">
        <w:rPr>
          <w:i/>
        </w:rPr>
        <w:t>this design principle might well be weakened or even thrown into reverse.</w:t>
      </w:r>
    </w:p>
    <w:p w:rsidR="00A3638D" w:rsidRPr="00785AFE" w:rsidRDefault="00A3638D">
      <w:pPr>
        <w:rPr>
          <w:i/>
        </w:rPr>
      </w:pPr>
    </w:p>
    <w:p w:rsidR="00A3638D" w:rsidRDefault="00F15EA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983307" wp14:editId="53EA849C">
            <wp:simplePos x="0" y="0"/>
            <wp:positionH relativeFrom="column">
              <wp:posOffset>3886200</wp:posOffset>
            </wp:positionH>
            <wp:positionV relativeFrom="paragraph">
              <wp:posOffset>73025</wp:posOffset>
            </wp:positionV>
            <wp:extent cx="2152650" cy="1979295"/>
            <wp:effectExtent l="0" t="0" r="0" b="1905"/>
            <wp:wrapSquare wrapText="bothSides"/>
            <wp:docPr id="1" name="Picture 1" descr="C:\Users\Peter Harper\Desktop\Peter's Desktop\SEQUESTRATION IN BUILDINGS\SFaga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Harper\Desktop\Peter's Desktop\SEQUESTRATION IN BUILDINGS\SFagan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1" t="2233" r="11191" b="3948"/>
                    <a:stretch/>
                  </pic:blipFill>
                  <pic:spPr bwMode="auto">
                    <a:xfrm>
                      <a:off x="0" y="0"/>
                      <a:ext cx="215265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CE">
        <w:t>The architect David Lea has designed a thick-walled vaulted structure</w:t>
      </w:r>
      <w:r w:rsidR="00A3638D">
        <w:t xml:space="preserve"> using hemp-lime as a structural material, </w:t>
      </w:r>
      <w:r>
        <w:t>and it is intended to realise the idea at full scale at</w:t>
      </w:r>
      <w:r w:rsidR="00A3638D">
        <w:t xml:space="preserve"> St Fagan’s</w:t>
      </w:r>
      <w:r w:rsidR="00F002CE">
        <w:t xml:space="preserve"> National History Museum</w:t>
      </w:r>
      <w:r>
        <w:t>, Cardiff</w:t>
      </w:r>
      <w:r w:rsidR="00A3638D">
        <w:t xml:space="preserve">. </w:t>
      </w:r>
      <w:r>
        <w:t xml:space="preserve">This shows a proof of concept. </w:t>
      </w:r>
      <w:r w:rsidR="00A3638D">
        <w:t xml:space="preserve">Hemp is an excellent material but is </w:t>
      </w:r>
      <w:r>
        <w:t xml:space="preserve">derived from an </w:t>
      </w:r>
      <w:r w:rsidR="00A3638D">
        <w:t>annual</w:t>
      </w:r>
      <w:r>
        <w:t xml:space="preserve"> plant</w:t>
      </w:r>
      <w:r w:rsidR="00A3638D">
        <w:t xml:space="preserve"> grown in arable rotations, with necessarily limited areas. Miscanthus, a perennial grass,</w:t>
      </w:r>
      <w:r>
        <w:t xml:space="preserve"> could pote</w:t>
      </w:r>
      <w:r w:rsidR="00A3638D">
        <w:t>ntially replace perennial forage grasses in much more abundant permanent pasture</w:t>
      </w:r>
      <w:r>
        <w:t>, giving much higher potential output.</w:t>
      </w:r>
      <w:r w:rsidR="00A3638D">
        <w:t xml:space="preserve"> </w:t>
      </w:r>
      <w:r>
        <w:t>Could it behave similarly</w:t>
      </w:r>
      <w:r w:rsidR="00785AFE">
        <w:t xml:space="preserve"> </w:t>
      </w:r>
      <w:r>
        <w:t xml:space="preserve">to hemp? </w:t>
      </w:r>
      <w:r w:rsidR="00785AFE">
        <w:t xml:space="preserve"> The present proposal is</w:t>
      </w:r>
      <w:r w:rsidR="00A3638D">
        <w:t xml:space="preserve"> </w:t>
      </w:r>
      <w:r w:rsidR="00A3638D" w:rsidRPr="00684EF4">
        <w:rPr>
          <w:b/>
        </w:rPr>
        <w:t>to carry out trials of miscanthus biomass in various forms</w:t>
      </w:r>
      <w:r w:rsidR="007C6EEC" w:rsidRPr="00684EF4">
        <w:rPr>
          <w:b/>
        </w:rPr>
        <w:t xml:space="preserve"> to create permanent structures, </w:t>
      </w:r>
      <w:r w:rsidR="00684EF4" w:rsidRPr="00684EF4">
        <w:rPr>
          <w:b/>
        </w:rPr>
        <w:t>while quantitatively assessing</w:t>
      </w:r>
      <w:r w:rsidR="007C6EEC" w:rsidRPr="00684EF4">
        <w:rPr>
          <w:b/>
        </w:rPr>
        <w:t xml:space="preserve"> sequestration value</w:t>
      </w:r>
      <w:r w:rsidR="007C6EEC">
        <w:t>.</w:t>
      </w:r>
      <w:r w:rsidRPr="00F15EA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6EEC" w:rsidRDefault="007C6EEC"/>
    <w:p w:rsidR="00684EF4" w:rsidRDefault="007C6EEC">
      <w:r>
        <w:t xml:space="preserve">The long-term goal is fairly clear – to provide a tangible sink for </w:t>
      </w:r>
      <w:r w:rsidR="00F15EA2">
        <w:t>carbon</w:t>
      </w:r>
      <w:r>
        <w:t xml:space="preserve"> within the building stock</w:t>
      </w:r>
      <w:r w:rsidR="00B97272">
        <w:t xml:space="preserve">. CAT’s </w:t>
      </w:r>
      <w:proofErr w:type="spellStart"/>
      <w:r w:rsidR="00B97272">
        <w:t>ZeroCarbonBritain</w:t>
      </w:r>
      <w:proofErr w:type="spellEnd"/>
      <w:r w:rsidR="00B97272">
        <w:t xml:space="preserve"> study</w:t>
      </w:r>
      <w:r>
        <w:t xml:space="preserve"> estimated </w:t>
      </w:r>
      <w:r w:rsidR="00B97272">
        <w:t>that retrofits and other routine uses could incorporate</w:t>
      </w:r>
      <w:r>
        <w:t xml:space="preserve"> </w:t>
      </w:r>
      <w:r w:rsidR="00B97272">
        <w:lastRenderedPageBreak/>
        <w:t>16</w:t>
      </w:r>
      <w:r>
        <w:t>Gg a year in the UK (</w:t>
      </w:r>
      <w:r w:rsidR="00F15EA2">
        <w:t>CAT 2010</w:t>
      </w:r>
      <w:r>
        <w:t xml:space="preserve">). </w:t>
      </w:r>
      <w:r w:rsidR="00B97272">
        <w:t xml:space="preserve"> Deliberate redesign of new </w:t>
      </w:r>
      <w:proofErr w:type="spellStart"/>
      <w:r w:rsidR="00B97272">
        <w:t>buyildings</w:t>
      </w:r>
      <w:proofErr w:type="spellEnd"/>
      <w:r w:rsidR="00B97272">
        <w:t xml:space="preserve"> </w:t>
      </w:r>
      <w:proofErr w:type="spellStart"/>
      <w:r w:rsidR="00B97272">
        <w:t>fopr</w:t>
      </w:r>
      <w:proofErr w:type="spellEnd"/>
      <w:r w:rsidR="00B97272">
        <w:t xml:space="preserve"> sequestration could possibly double this figure to around 30Gg.  </w:t>
      </w:r>
      <w:r w:rsidR="00684EF4">
        <w:t xml:space="preserve">This is small relative to present UK emissions, but it has been demonstrated that in various ways UK emissions could be reduced to under 70Gg, against which </w:t>
      </w:r>
      <w:r w:rsidR="00B97272">
        <w:t>3</w:t>
      </w:r>
      <w:r w:rsidR="00684EF4">
        <w:t>0Gg of sequestration is a worthwhile</w:t>
      </w:r>
      <w:r w:rsidR="00B97272">
        <w:t xml:space="preserve"> </w:t>
      </w:r>
      <w:r w:rsidR="00684EF4">
        <w:t>proportion.</w:t>
      </w:r>
    </w:p>
    <w:p w:rsidR="00684EF4" w:rsidRDefault="00684EF4"/>
    <w:p w:rsidR="007C6EEC" w:rsidRDefault="007C6EEC">
      <w:r>
        <w:t>In the short term however, incorporation of sequestering materials could help achi</w:t>
      </w:r>
      <w:r w:rsidR="00C369D6">
        <w:t>e</w:t>
      </w:r>
      <w:r>
        <w:t>ve government targets for building performance. In spite of the fanfare surrounding ‘zero-carbon buildings’</w:t>
      </w:r>
      <w:r w:rsidR="00684EF4">
        <w:t>,</w:t>
      </w:r>
      <w:r>
        <w:t xml:space="preserve"> these are proving very difficult to deliver. If however a building is </w:t>
      </w:r>
      <w:r w:rsidR="00C369D6">
        <w:t>extremely</w:t>
      </w:r>
      <w:r>
        <w:t xml:space="preserve"> well-insulated with ‘cheap’ materials</w:t>
      </w:r>
      <w:r w:rsidR="00684EF4">
        <w:t>,</w:t>
      </w:r>
      <w:r w:rsidR="00C369D6">
        <w:t xml:space="preserve"> generates a certain amount of energy,</w:t>
      </w:r>
      <w:r>
        <w:t xml:space="preserve"> and </w:t>
      </w:r>
      <w:r w:rsidR="00684EF4">
        <w:t xml:space="preserve">is made from carbon-negative </w:t>
      </w:r>
      <w:r>
        <w:t>mater</w:t>
      </w:r>
      <w:r w:rsidR="00684EF4">
        <w:t>ials</w:t>
      </w:r>
      <w:r>
        <w:t xml:space="preserve">, the building </w:t>
      </w:r>
      <w:r w:rsidR="00C369D6">
        <w:t>could</w:t>
      </w:r>
      <w:r>
        <w:t xml:space="preserve"> balance its life-cycle emissions to </w:t>
      </w:r>
      <w:r w:rsidR="00C369D6" w:rsidRPr="00C369D6">
        <w:rPr>
          <w:i/>
        </w:rPr>
        <w:t>less than</w:t>
      </w:r>
      <w:r w:rsidR="00C369D6">
        <w:t xml:space="preserve"> </w:t>
      </w:r>
      <w:r>
        <w:t>zero.</w:t>
      </w:r>
      <w:r w:rsidR="00C369D6">
        <w:t xml:space="preserve"> The range of logical possibilities </w:t>
      </w:r>
      <w:r w:rsidR="00C45817">
        <w:t>is</w:t>
      </w:r>
      <w:r w:rsidR="00C369D6">
        <w:t xml:space="preserve"> laid out in the figure below.</w:t>
      </w:r>
    </w:p>
    <w:p w:rsidR="00C369D6" w:rsidRDefault="00C369D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7103CF" wp14:editId="6AAC04D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962650" cy="4531995"/>
            <wp:effectExtent l="0" t="0" r="0" b="1905"/>
            <wp:wrapSquare wrapText="bothSides"/>
            <wp:docPr id="4106" name="Picture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3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9D6" w:rsidRDefault="00C369D6"/>
    <w:p w:rsidR="000B0999" w:rsidRDefault="000B0999"/>
    <w:p w:rsidR="000B0999" w:rsidRDefault="000B0999"/>
    <w:p w:rsidR="007C6EEC" w:rsidRDefault="00C45817">
      <w:r>
        <w:t>In future it is possible that planning consents for structures could be based on expected life-cycle emissions and negative embodied carbon could be a key design feature.</w:t>
      </w:r>
    </w:p>
    <w:p w:rsidR="00757DD6" w:rsidRDefault="00757DD6"/>
    <w:p w:rsidR="00684EF4" w:rsidRDefault="00684EF4"/>
    <w:p w:rsidR="00684EF4" w:rsidRDefault="00684EF4"/>
    <w:p w:rsidR="00C45817" w:rsidRDefault="00757DD6">
      <w:r>
        <w:t>REFERENCES</w:t>
      </w:r>
    </w:p>
    <w:p w:rsidR="00DB2875" w:rsidRDefault="00C45817" w:rsidP="00DB2875">
      <w:proofErr w:type="gramStart"/>
      <w:r>
        <w:t>Anderson, K., and Alice Bows, 2008.</w:t>
      </w:r>
      <w:proofErr w:type="gramEnd"/>
      <w:r>
        <w:t xml:space="preserve"> </w:t>
      </w:r>
      <w:r w:rsidR="00DB2875">
        <w:t>Reframing the climate change challenge in</w:t>
      </w:r>
    </w:p>
    <w:p w:rsidR="007C6EEC" w:rsidRDefault="00DB2875" w:rsidP="00DB2875">
      <w:proofErr w:type="gramStart"/>
      <w:r>
        <w:t>lig</w:t>
      </w:r>
      <w:r w:rsidR="00C45817">
        <w:t>ht</w:t>
      </w:r>
      <w:proofErr w:type="gramEnd"/>
      <w:r w:rsidR="00C45817">
        <w:t xml:space="preserve"> of post-2000 emission trends. </w:t>
      </w:r>
      <w:r w:rsidRPr="00C45817">
        <w:rPr>
          <w:i/>
        </w:rPr>
        <w:t>Phil. Trans. R. Soc. A</w:t>
      </w:r>
      <w:r w:rsidR="00C45817">
        <w:rPr>
          <w:i/>
        </w:rPr>
        <w:t xml:space="preserve">. </w:t>
      </w:r>
      <w:r>
        <w:t>doi:10.1098/rsta.2008.0138</w:t>
      </w:r>
    </w:p>
    <w:p w:rsidR="004D2E11" w:rsidRDefault="004D2E11" w:rsidP="00DB2875"/>
    <w:p w:rsidR="00C45817" w:rsidRDefault="00C45817" w:rsidP="00C45817">
      <w:pPr>
        <w:rPr>
          <w:bCs/>
        </w:rPr>
      </w:pPr>
      <w:proofErr w:type="gramStart"/>
      <w:r>
        <w:rPr>
          <w:sz w:val="22"/>
          <w:szCs w:val="22"/>
        </w:rPr>
        <w:lastRenderedPageBreak/>
        <w:t xml:space="preserve">Bevan, R. and T. Woolley (2008), </w:t>
      </w:r>
      <w:r w:rsidRPr="00757DD6">
        <w:rPr>
          <w:i/>
        </w:rPr>
        <w:t>Hemp lime construction.</w:t>
      </w:r>
      <w:proofErr w:type="gramEnd"/>
      <w:r w:rsidRPr="00757DD6">
        <w:rPr>
          <w:i/>
        </w:rPr>
        <w:t xml:space="preserve"> A guide to building with hemp lime composites</w:t>
      </w:r>
      <w:r>
        <w:t xml:space="preserve">. </w:t>
      </w:r>
      <w:r w:rsidRPr="00D910D4">
        <w:rPr>
          <w:bCs/>
        </w:rPr>
        <w:t>NNFCC 07-001</w:t>
      </w:r>
    </w:p>
    <w:p w:rsidR="00C45817" w:rsidRDefault="00C45817" w:rsidP="00DB2875"/>
    <w:p w:rsidR="00785AFE" w:rsidRDefault="00785AFE" w:rsidP="00DB2875">
      <w:proofErr w:type="spellStart"/>
      <w:proofErr w:type="gramStart"/>
      <w:r>
        <w:t>Biocomposites</w:t>
      </w:r>
      <w:proofErr w:type="spellEnd"/>
      <w:r>
        <w:t xml:space="preserve"> Centre, University of Bangor.</w:t>
      </w:r>
      <w:proofErr w:type="gramEnd"/>
      <w:r>
        <w:t xml:space="preserve"> </w:t>
      </w:r>
      <w:hyperlink r:id="rId8" w:history="1">
        <w:r w:rsidRPr="004E511C">
          <w:rPr>
            <w:rStyle w:val="Hyperlink"/>
          </w:rPr>
          <w:t>www.bc.bangor.ac.uk</w:t>
        </w:r>
      </w:hyperlink>
      <w:r>
        <w:t>.</w:t>
      </w:r>
    </w:p>
    <w:p w:rsidR="00785AFE" w:rsidRDefault="00785AFE" w:rsidP="00DB2875"/>
    <w:p w:rsidR="00F15EA2" w:rsidRDefault="00F15EA2" w:rsidP="00DB2875">
      <w:r>
        <w:t xml:space="preserve">Centre for Alternative Technology, 2010. </w:t>
      </w:r>
      <w:proofErr w:type="gramStart"/>
      <w:r w:rsidRPr="00F15EA2">
        <w:rPr>
          <w:i/>
        </w:rPr>
        <w:t>Zero-Carbon Britain 2030</w:t>
      </w:r>
      <w:r>
        <w:t>.</w:t>
      </w:r>
      <w:proofErr w:type="gramEnd"/>
      <w:r w:rsidR="00757DD6">
        <w:t xml:space="preserve"> </w:t>
      </w:r>
      <w:proofErr w:type="gramStart"/>
      <w:r>
        <w:t>CAT Publications.</w:t>
      </w:r>
      <w:proofErr w:type="gramEnd"/>
    </w:p>
    <w:p w:rsidR="00F15EA2" w:rsidRDefault="00F15EA2" w:rsidP="00DB2875"/>
    <w:p w:rsidR="00C45817" w:rsidRDefault="00C45817" w:rsidP="00C45817">
      <w:pPr>
        <w:rPr>
          <w:bCs/>
        </w:rPr>
      </w:pPr>
      <w:proofErr w:type="spellStart"/>
      <w:r>
        <w:rPr>
          <w:bCs/>
        </w:rPr>
        <w:t>Fathy</w:t>
      </w:r>
      <w:proofErr w:type="spellEnd"/>
      <w:r>
        <w:rPr>
          <w:bCs/>
        </w:rPr>
        <w:t xml:space="preserve">, Hassan, 1976. </w:t>
      </w:r>
      <w:proofErr w:type="gramStart"/>
      <w:r w:rsidRPr="00757DD6">
        <w:rPr>
          <w:bCs/>
          <w:i/>
        </w:rPr>
        <w:t>Architecture for the Poor.</w:t>
      </w:r>
      <w:proofErr w:type="gramEnd"/>
      <w:r>
        <w:rPr>
          <w:bCs/>
        </w:rPr>
        <w:t xml:space="preserve"> University of Chicago Press</w:t>
      </w:r>
    </w:p>
    <w:p w:rsidR="00757DD6" w:rsidRDefault="00757DD6" w:rsidP="00C45817">
      <w:pPr>
        <w:rPr>
          <w:bCs/>
        </w:rPr>
      </w:pPr>
    </w:p>
    <w:p w:rsidR="00C45817" w:rsidRPr="00757DD6" w:rsidRDefault="00C45817" w:rsidP="00C45817">
      <w:pPr>
        <w:rPr>
          <w:bCs/>
        </w:rPr>
      </w:pPr>
      <w:proofErr w:type="spellStart"/>
      <w:r w:rsidRPr="00757DD6">
        <w:rPr>
          <w:bCs/>
        </w:rPr>
        <w:t>Fitchen</w:t>
      </w:r>
      <w:proofErr w:type="spellEnd"/>
      <w:r w:rsidRPr="00757DD6">
        <w:rPr>
          <w:bCs/>
        </w:rPr>
        <w:t xml:space="preserve">, J. 1961. </w:t>
      </w:r>
      <w:r w:rsidRPr="00757DD6">
        <w:rPr>
          <w:bCs/>
          <w:i/>
          <w:iCs/>
        </w:rPr>
        <w:t xml:space="preserve">The Construction of Gothic Cathedrals: A Study of Medieval Vault Erection. </w:t>
      </w:r>
      <w:r w:rsidRPr="00757DD6">
        <w:rPr>
          <w:bCs/>
        </w:rPr>
        <w:t>Oxford, Oxford University Press.</w:t>
      </w:r>
    </w:p>
    <w:p w:rsidR="00C45817" w:rsidRDefault="00C45817" w:rsidP="00C45817"/>
    <w:p w:rsidR="00C45817" w:rsidRPr="00747590" w:rsidRDefault="00C45817" w:rsidP="00C45817">
      <w:pPr>
        <w:rPr>
          <w:i/>
        </w:rPr>
      </w:pPr>
      <w:proofErr w:type="gramStart"/>
      <w:r>
        <w:rPr>
          <w:sz w:val="22"/>
          <w:szCs w:val="22"/>
        </w:rPr>
        <w:t>Forestry Commission Scotland, 2009.</w:t>
      </w:r>
      <w:proofErr w:type="gramEnd"/>
      <w:r>
        <w:rPr>
          <w:sz w:val="22"/>
          <w:szCs w:val="22"/>
        </w:rPr>
        <w:t xml:space="preserve"> </w:t>
      </w:r>
      <w:r w:rsidRPr="00747590">
        <w:rPr>
          <w:i/>
          <w:sz w:val="22"/>
          <w:szCs w:val="22"/>
        </w:rPr>
        <w:t>Greenhouse Gas Emissions Comparison ­ Carbon benefits of Timber in Construction</w:t>
      </w:r>
    </w:p>
    <w:p w:rsidR="00C45817" w:rsidRDefault="00C45817" w:rsidP="00DB2875"/>
    <w:p w:rsidR="004D2E11" w:rsidRDefault="004D2E11" w:rsidP="00DB2875">
      <w:pPr>
        <w:rPr>
          <w:rStyle w:val="slug-pages"/>
          <w:i/>
          <w:iCs/>
        </w:rPr>
      </w:pPr>
      <w:proofErr w:type="spellStart"/>
      <w:r>
        <w:t>Lal</w:t>
      </w:r>
      <w:proofErr w:type="spellEnd"/>
      <w:r>
        <w:t xml:space="preserve">, </w:t>
      </w:r>
      <w:r w:rsidR="00C45817">
        <w:t xml:space="preserve">Rattan, 2008.  </w:t>
      </w:r>
      <w:proofErr w:type="gramStart"/>
      <w:r>
        <w:t>Carbon Sequestration.</w:t>
      </w:r>
      <w:proofErr w:type="gramEnd"/>
      <w:r>
        <w:t xml:space="preserve">  </w:t>
      </w:r>
      <w:r>
        <w:rPr>
          <w:rStyle w:val="HTMLCite"/>
        </w:rPr>
        <w:t>Phil. Trans. R. Soc. B</w:t>
      </w:r>
      <w:r>
        <w:rPr>
          <w:rStyle w:val="slug-pub-date"/>
          <w:i/>
          <w:iCs/>
        </w:rPr>
        <w:t xml:space="preserve"> 27 </w:t>
      </w:r>
      <w:r w:rsidRPr="00C45817">
        <w:rPr>
          <w:rStyle w:val="slug-pub-date"/>
          <w:iCs/>
        </w:rPr>
        <w:t xml:space="preserve">February 2008 </w:t>
      </w:r>
      <w:r w:rsidRPr="00C45817">
        <w:rPr>
          <w:rStyle w:val="slug-vol"/>
          <w:iCs/>
        </w:rPr>
        <w:t xml:space="preserve">vol. 363 </w:t>
      </w:r>
      <w:r w:rsidRPr="00C45817">
        <w:rPr>
          <w:rStyle w:val="slug-issue"/>
          <w:iCs/>
        </w:rPr>
        <w:t xml:space="preserve">no. 1492 </w:t>
      </w:r>
      <w:r w:rsidRPr="00C45817">
        <w:rPr>
          <w:rStyle w:val="slug-pages"/>
          <w:iCs/>
        </w:rPr>
        <w:t>815-830</w:t>
      </w:r>
      <w:r w:rsidR="00C45817">
        <w:t xml:space="preserve">. </w:t>
      </w:r>
      <w:r w:rsidR="00C45817" w:rsidRPr="00C45817">
        <w:t xml:space="preserve"> </w:t>
      </w:r>
      <w:proofErr w:type="spellStart"/>
      <w:r w:rsidR="00C45817">
        <w:t>doi</w:t>
      </w:r>
      <w:proofErr w:type="spellEnd"/>
      <w:r w:rsidR="00C45817">
        <w:t xml:space="preserve">: </w:t>
      </w:r>
      <w:r w:rsidR="00C45817">
        <w:rPr>
          <w:rStyle w:val="slug-doi"/>
        </w:rPr>
        <w:t>10.1098/rstb.2007.2185</w:t>
      </w:r>
    </w:p>
    <w:p w:rsidR="00CC4B4B" w:rsidRDefault="00CC4B4B" w:rsidP="00DB2875">
      <w:pPr>
        <w:rPr>
          <w:rStyle w:val="slug-pages"/>
          <w:i/>
          <w:iCs/>
        </w:rPr>
      </w:pPr>
    </w:p>
    <w:p w:rsidR="00C45817" w:rsidRPr="00C27183" w:rsidRDefault="00C45817" w:rsidP="00C45817">
      <w:pPr>
        <w:rPr>
          <w:sz w:val="22"/>
          <w:szCs w:val="22"/>
        </w:rPr>
      </w:pPr>
      <w:r w:rsidRPr="00C27183">
        <w:rPr>
          <w:sz w:val="22"/>
          <w:szCs w:val="22"/>
        </w:rPr>
        <w:t>Strand S</w:t>
      </w:r>
      <w:r w:rsidR="00684EF4">
        <w:rPr>
          <w:sz w:val="22"/>
          <w:szCs w:val="22"/>
        </w:rPr>
        <w:t>.</w:t>
      </w:r>
      <w:r w:rsidRPr="00C27183">
        <w:rPr>
          <w:sz w:val="22"/>
          <w:szCs w:val="22"/>
        </w:rPr>
        <w:t>E</w:t>
      </w:r>
      <w:r w:rsidR="00684EF4">
        <w:rPr>
          <w:sz w:val="22"/>
          <w:szCs w:val="22"/>
        </w:rPr>
        <w:t>.</w:t>
      </w:r>
      <w:r w:rsidRPr="00C27183">
        <w:rPr>
          <w:sz w:val="22"/>
          <w:szCs w:val="22"/>
        </w:rPr>
        <w:t>,</w:t>
      </w:r>
      <w:r w:rsidR="00684EF4">
        <w:rPr>
          <w:sz w:val="22"/>
          <w:szCs w:val="22"/>
        </w:rPr>
        <w:t xml:space="preserve"> and </w:t>
      </w:r>
      <w:proofErr w:type="spellStart"/>
      <w:r w:rsidR="00684EF4">
        <w:rPr>
          <w:sz w:val="22"/>
          <w:szCs w:val="22"/>
        </w:rPr>
        <w:t>Benford</w:t>
      </w:r>
      <w:proofErr w:type="spellEnd"/>
      <w:r w:rsidR="00684EF4">
        <w:rPr>
          <w:sz w:val="22"/>
          <w:szCs w:val="22"/>
        </w:rPr>
        <w:t xml:space="preserve"> G.</w:t>
      </w:r>
      <w:proofErr w:type="gramStart"/>
      <w:r w:rsidR="00684EF4">
        <w:rPr>
          <w:sz w:val="22"/>
          <w:szCs w:val="22"/>
        </w:rPr>
        <w:t>,2009</w:t>
      </w:r>
      <w:proofErr w:type="gramEnd"/>
      <w:r w:rsidR="00684EF4">
        <w:rPr>
          <w:sz w:val="22"/>
          <w:szCs w:val="22"/>
        </w:rPr>
        <w:t>.</w:t>
      </w:r>
      <w:r w:rsidRPr="00C27183">
        <w:rPr>
          <w:sz w:val="22"/>
          <w:szCs w:val="22"/>
        </w:rPr>
        <w:t xml:space="preserve"> Ocean sequestration of crop residue carbon: recycling fossil fuel carbon back to deep sediments, </w:t>
      </w:r>
      <w:r w:rsidR="00684EF4" w:rsidRPr="00684EF4">
        <w:rPr>
          <w:i/>
          <w:sz w:val="22"/>
          <w:szCs w:val="22"/>
        </w:rPr>
        <w:t>Environ</w:t>
      </w:r>
      <w:r w:rsidR="00684EF4">
        <w:rPr>
          <w:i/>
          <w:sz w:val="22"/>
          <w:szCs w:val="22"/>
        </w:rPr>
        <w:t xml:space="preserve">. </w:t>
      </w:r>
      <w:proofErr w:type="spellStart"/>
      <w:r w:rsidRPr="00C45817">
        <w:rPr>
          <w:i/>
          <w:sz w:val="22"/>
          <w:szCs w:val="22"/>
        </w:rPr>
        <w:t>Sci</w:t>
      </w:r>
      <w:proofErr w:type="spellEnd"/>
      <w:r w:rsidRPr="00C45817">
        <w:rPr>
          <w:i/>
          <w:sz w:val="22"/>
          <w:szCs w:val="22"/>
        </w:rPr>
        <w:t xml:space="preserve"> </w:t>
      </w:r>
      <w:r w:rsidR="00684EF4">
        <w:rPr>
          <w:i/>
          <w:sz w:val="22"/>
          <w:szCs w:val="22"/>
        </w:rPr>
        <w:t>.</w:t>
      </w:r>
      <w:r w:rsidRPr="00C45817">
        <w:rPr>
          <w:i/>
          <w:sz w:val="22"/>
          <w:szCs w:val="22"/>
        </w:rPr>
        <w:t>Technol</w:t>
      </w:r>
      <w:r w:rsidRPr="00C27183">
        <w:rPr>
          <w:sz w:val="22"/>
          <w:szCs w:val="22"/>
        </w:rPr>
        <w:t xml:space="preserve">. </w:t>
      </w:r>
      <w:r w:rsidRPr="00C45817">
        <w:rPr>
          <w:b/>
          <w:sz w:val="22"/>
          <w:szCs w:val="22"/>
        </w:rPr>
        <w:t>43</w:t>
      </w:r>
      <w:r w:rsidRPr="00C27183">
        <w:rPr>
          <w:sz w:val="22"/>
          <w:szCs w:val="22"/>
        </w:rPr>
        <w:t xml:space="preserve"> (4</w:t>
      </w:r>
      <w:proofErr w:type="gramStart"/>
      <w:r w:rsidRPr="00C27183">
        <w:rPr>
          <w:sz w:val="22"/>
          <w:szCs w:val="22"/>
        </w:rPr>
        <w:t>) :</w:t>
      </w:r>
      <w:proofErr w:type="gramEnd"/>
      <w:r w:rsidRPr="00C27183">
        <w:rPr>
          <w:sz w:val="22"/>
          <w:szCs w:val="22"/>
        </w:rPr>
        <w:t>1000-7.</w:t>
      </w:r>
    </w:p>
    <w:p w:rsidR="00C45817" w:rsidRDefault="00C45817" w:rsidP="00CC4B4B">
      <w:pPr>
        <w:rPr>
          <w:bCs/>
          <w:color w:val="000000"/>
          <w:sz w:val="22"/>
          <w:szCs w:val="22"/>
        </w:rPr>
      </w:pPr>
    </w:p>
    <w:p w:rsidR="00CC4B4B" w:rsidRPr="00FC7860" w:rsidRDefault="00684EF4" w:rsidP="00CC4B4B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Zeng, </w:t>
      </w:r>
      <w:proofErr w:type="spellStart"/>
      <w:r>
        <w:rPr>
          <w:bCs/>
          <w:color w:val="000000"/>
          <w:sz w:val="22"/>
          <w:szCs w:val="22"/>
        </w:rPr>
        <w:t>Ning</w:t>
      </w:r>
      <w:proofErr w:type="spellEnd"/>
      <w:r>
        <w:rPr>
          <w:bCs/>
          <w:color w:val="000000"/>
          <w:sz w:val="22"/>
          <w:szCs w:val="22"/>
        </w:rPr>
        <w:t xml:space="preserve">, </w:t>
      </w:r>
      <w:r w:rsidR="00CC4B4B" w:rsidRPr="00FC7860">
        <w:rPr>
          <w:bCs/>
          <w:color w:val="000000"/>
          <w:sz w:val="22"/>
          <w:szCs w:val="22"/>
        </w:rPr>
        <w:t>2008</w:t>
      </w:r>
      <w:r w:rsidR="00CC4B4B">
        <w:rPr>
          <w:bCs/>
          <w:color w:val="000000"/>
          <w:sz w:val="22"/>
          <w:szCs w:val="22"/>
        </w:rPr>
        <w:t>.</w:t>
      </w:r>
      <w:r w:rsidR="00CC4B4B">
        <w:rPr>
          <w:b/>
          <w:bCs/>
          <w:color w:val="000000"/>
          <w:sz w:val="22"/>
          <w:szCs w:val="22"/>
        </w:rPr>
        <w:t xml:space="preserve"> </w:t>
      </w:r>
      <w:r w:rsidR="00CC4B4B" w:rsidRPr="00FC7860">
        <w:rPr>
          <w:color w:val="000000"/>
          <w:sz w:val="22"/>
          <w:szCs w:val="22"/>
        </w:rPr>
        <w:t>Carbon sequestration via wood burial</w:t>
      </w:r>
      <w:r w:rsidR="00CC4B4B">
        <w:rPr>
          <w:color w:val="000000"/>
          <w:sz w:val="22"/>
          <w:szCs w:val="22"/>
        </w:rPr>
        <w:t xml:space="preserve"> </w:t>
      </w:r>
      <w:r w:rsidR="00CC4B4B" w:rsidRPr="00FC7860">
        <w:rPr>
          <w:rStyle w:val="Emphasis"/>
          <w:color w:val="000000"/>
        </w:rPr>
        <w:t>Carbon Balance and Management</w:t>
      </w:r>
      <w:r w:rsidR="00CC4B4B" w:rsidRPr="00FC7860">
        <w:rPr>
          <w:rStyle w:val="apple-converted-space"/>
          <w:color w:val="000000"/>
        </w:rPr>
        <w:t> </w:t>
      </w:r>
      <w:r w:rsidR="00CC4B4B" w:rsidRPr="00FC7860">
        <w:rPr>
          <w:rStyle w:val="Strong"/>
          <w:color w:val="000000"/>
        </w:rPr>
        <w:t>3:</w:t>
      </w:r>
      <w:r w:rsidR="00CC4B4B" w:rsidRPr="00FC7860">
        <w:rPr>
          <w:rStyle w:val="apple-style-span"/>
          <w:color w:val="000000"/>
        </w:rPr>
        <w:t>1</w:t>
      </w:r>
      <w:r w:rsidR="00CC4B4B">
        <w:rPr>
          <w:rStyle w:val="apple-style-span"/>
          <w:rFonts w:ascii="Verdana" w:hAnsi="Verdana"/>
          <w:color w:val="000000"/>
          <w:sz w:val="17"/>
          <w:szCs w:val="17"/>
        </w:rPr>
        <w:t xml:space="preserve">          </w:t>
      </w:r>
      <w:r w:rsidR="00CC4B4B">
        <w:rPr>
          <w:rStyle w:val="pseudotab"/>
          <w:rFonts w:ascii="Verdana" w:hAnsi="Verdana"/>
          <w:color w:val="000000"/>
          <w:sz w:val="17"/>
          <w:szCs w:val="17"/>
        </w:rPr>
        <w:t>doi</w:t>
      </w:r>
      <w:proofErr w:type="gramStart"/>
      <w:r w:rsidR="00CC4B4B">
        <w:rPr>
          <w:rStyle w:val="pseudotab"/>
          <w:rFonts w:ascii="Verdana" w:hAnsi="Verdana"/>
          <w:color w:val="000000"/>
          <w:sz w:val="17"/>
          <w:szCs w:val="17"/>
        </w:rPr>
        <w:t>:10.1186</w:t>
      </w:r>
      <w:proofErr w:type="gramEnd"/>
      <w:r w:rsidR="00CC4B4B">
        <w:rPr>
          <w:rStyle w:val="pseudotab"/>
          <w:rFonts w:ascii="Verdana" w:hAnsi="Verdana"/>
          <w:color w:val="000000"/>
          <w:sz w:val="17"/>
          <w:szCs w:val="17"/>
        </w:rPr>
        <w:t>/1750-0680-3-1</w:t>
      </w:r>
    </w:p>
    <w:p w:rsidR="00CC4B4B" w:rsidRDefault="00CC4B4B" w:rsidP="00CC4B4B">
      <w:pPr>
        <w:rPr>
          <w:sz w:val="22"/>
          <w:szCs w:val="22"/>
        </w:rPr>
      </w:pPr>
    </w:p>
    <w:p w:rsidR="00CC4B4B" w:rsidRDefault="00CC4B4B" w:rsidP="00DB2875"/>
    <w:p w:rsidR="00747590" w:rsidRDefault="00747590" w:rsidP="00CC4B4B">
      <w:pPr>
        <w:rPr>
          <w:bCs/>
        </w:rPr>
      </w:pPr>
    </w:p>
    <w:p w:rsidR="00C45817" w:rsidRPr="00747590" w:rsidRDefault="00C45817">
      <w:pPr>
        <w:rPr>
          <w:i/>
        </w:rPr>
      </w:pPr>
    </w:p>
    <w:sectPr w:rsidR="00C45817" w:rsidRPr="00747590" w:rsidSect="00C369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E"/>
    <w:rsid w:val="000B0999"/>
    <w:rsid w:val="002423DB"/>
    <w:rsid w:val="003A55AE"/>
    <w:rsid w:val="003E2B44"/>
    <w:rsid w:val="004D2E11"/>
    <w:rsid w:val="00581AF4"/>
    <w:rsid w:val="00684EF4"/>
    <w:rsid w:val="00747590"/>
    <w:rsid w:val="00757DD6"/>
    <w:rsid w:val="00785AFE"/>
    <w:rsid w:val="00794DCE"/>
    <w:rsid w:val="007C6EEC"/>
    <w:rsid w:val="0085414C"/>
    <w:rsid w:val="00907E11"/>
    <w:rsid w:val="009872AE"/>
    <w:rsid w:val="00A3638D"/>
    <w:rsid w:val="00B93311"/>
    <w:rsid w:val="00B97272"/>
    <w:rsid w:val="00C369D6"/>
    <w:rsid w:val="00C45817"/>
    <w:rsid w:val="00CC4B4B"/>
    <w:rsid w:val="00D53D53"/>
    <w:rsid w:val="00DB2875"/>
    <w:rsid w:val="00E86F5E"/>
    <w:rsid w:val="00F002CE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999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4C"/>
    <w:rPr>
      <w:rFonts w:ascii="Tahoma" w:hAnsi="Tahoma" w:cs="Tahoma"/>
      <w:sz w:val="16"/>
      <w:szCs w:val="16"/>
      <w:lang w:eastAsia="ja-JP"/>
    </w:rPr>
  </w:style>
  <w:style w:type="character" w:customStyle="1" w:styleId="slug-doi">
    <w:name w:val="slug-doi"/>
    <w:basedOn w:val="DefaultParagraphFont"/>
    <w:rsid w:val="004D2E11"/>
  </w:style>
  <w:style w:type="character" w:styleId="HTMLCite">
    <w:name w:val="HTML Cite"/>
    <w:basedOn w:val="DefaultParagraphFont"/>
    <w:uiPriority w:val="99"/>
    <w:semiHidden/>
    <w:unhideWhenUsed/>
    <w:rsid w:val="004D2E11"/>
    <w:rPr>
      <w:i/>
      <w:iCs/>
    </w:rPr>
  </w:style>
  <w:style w:type="character" w:customStyle="1" w:styleId="slug-pub-date">
    <w:name w:val="slug-pub-date"/>
    <w:basedOn w:val="DefaultParagraphFont"/>
    <w:rsid w:val="004D2E11"/>
  </w:style>
  <w:style w:type="character" w:customStyle="1" w:styleId="slug-vol">
    <w:name w:val="slug-vol"/>
    <w:basedOn w:val="DefaultParagraphFont"/>
    <w:rsid w:val="004D2E11"/>
  </w:style>
  <w:style w:type="character" w:customStyle="1" w:styleId="slug-issue">
    <w:name w:val="slug-issue"/>
    <w:basedOn w:val="DefaultParagraphFont"/>
    <w:rsid w:val="004D2E11"/>
  </w:style>
  <w:style w:type="character" w:customStyle="1" w:styleId="slug-pages">
    <w:name w:val="slug-pages"/>
    <w:basedOn w:val="DefaultParagraphFont"/>
    <w:rsid w:val="004D2E11"/>
  </w:style>
  <w:style w:type="character" w:customStyle="1" w:styleId="apple-style-span">
    <w:name w:val="apple-style-span"/>
    <w:basedOn w:val="DefaultParagraphFont"/>
    <w:rsid w:val="00CC4B4B"/>
  </w:style>
  <w:style w:type="character" w:styleId="Strong">
    <w:name w:val="Strong"/>
    <w:qFormat/>
    <w:rsid w:val="00CC4B4B"/>
    <w:rPr>
      <w:b/>
      <w:bCs/>
    </w:rPr>
  </w:style>
  <w:style w:type="character" w:customStyle="1" w:styleId="apple-converted-space">
    <w:name w:val="apple-converted-space"/>
    <w:basedOn w:val="DefaultParagraphFont"/>
    <w:rsid w:val="00CC4B4B"/>
  </w:style>
  <w:style w:type="character" w:styleId="Emphasis">
    <w:name w:val="Emphasis"/>
    <w:qFormat/>
    <w:rsid w:val="00CC4B4B"/>
    <w:rPr>
      <w:i/>
      <w:iCs/>
    </w:rPr>
  </w:style>
  <w:style w:type="character" w:customStyle="1" w:styleId="pseudotab">
    <w:name w:val="pseudotab"/>
    <w:basedOn w:val="DefaultParagraphFont"/>
    <w:rsid w:val="00CC4B4B"/>
  </w:style>
  <w:style w:type="character" w:styleId="Hyperlink">
    <w:name w:val="Hyperlink"/>
    <w:basedOn w:val="DefaultParagraphFont"/>
    <w:uiPriority w:val="99"/>
    <w:unhideWhenUsed/>
    <w:rsid w:val="0078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999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4C"/>
    <w:rPr>
      <w:rFonts w:ascii="Tahoma" w:hAnsi="Tahoma" w:cs="Tahoma"/>
      <w:sz w:val="16"/>
      <w:szCs w:val="16"/>
      <w:lang w:eastAsia="ja-JP"/>
    </w:rPr>
  </w:style>
  <w:style w:type="character" w:customStyle="1" w:styleId="slug-doi">
    <w:name w:val="slug-doi"/>
    <w:basedOn w:val="DefaultParagraphFont"/>
    <w:rsid w:val="004D2E11"/>
  </w:style>
  <w:style w:type="character" w:styleId="HTMLCite">
    <w:name w:val="HTML Cite"/>
    <w:basedOn w:val="DefaultParagraphFont"/>
    <w:uiPriority w:val="99"/>
    <w:semiHidden/>
    <w:unhideWhenUsed/>
    <w:rsid w:val="004D2E11"/>
    <w:rPr>
      <w:i/>
      <w:iCs/>
    </w:rPr>
  </w:style>
  <w:style w:type="character" w:customStyle="1" w:styleId="slug-pub-date">
    <w:name w:val="slug-pub-date"/>
    <w:basedOn w:val="DefaultParagraphFont"/>
    <w:rsid w:val="004D2E11"/>
  </w:style>
  <w:style w:type="character" w:customStyle="1" w:styleId="slug-vol">
    <w:name w:val="slug-vol"/>
    <w:basedOn w:val="DefaultParagraphFont"/>
    <w:rsid w:val="004D2E11"/>
  </w:style>
  <w:style w:type="character" w:customStyle="1" w:styleId="slug-issue">
    <w:name w:val="slug-issue"/>
    <w:basedOn w:val="DefaultParagraphFont"/>
    <w:rsid w:val="004D2E11"/>
  </w:style>
  <w:style w:type="character" w:customStyle="1" w:styleId="slug-pages">
    <w:name w:val="slug-pages"/>
    <w:basedOn w:val="DefaultParagraphFont"/>
    <w:rsid w:val="004D2E11"/>
  </w:style>
  <w:style w:type="character" w:customStyle="1" w:styleId="apple-style-span">
    <w:name w:val="apple-style-span"/>
    <w:basedOn w:val="DefaultParagraphFont"/>
    <w:rsid w:val="00CC4B4B"/>
  </w:style>
  <w:style w:type="character" w:styleId="Strong">
    <w:name w:val="Strong"/>
    <w:qFormat/>
    <w:rsid w:val="00CC4B4B"/>
    <w:rPr>
      <w:b/>
      <w:bCs/>
    </w:rPr>
  </w:style>
  <w:style w:type="character" w:customStyle="1" w:styleId="apple-converted-space">
    <w:name w:val="apple-converted-space"/>
    <w:basedOn w:val="DefaultParagraphFont"/>
    <w:rsid w:val="00CC4B4B"/>
  </w:style>
  <w:style w:type="character" w:styleId="Emphasis">
    <w:name w:val="Emphasis"/>
    <w:qFormat/>
    <w:rsid w:val="00CC4B4B"/>
    <w:rPr>
      <w:i/>
      <w:iCs/>
    </w:rPr>
  </w:style>
  <w:style w:type="character" w:customStyle="1" w:styleId="pseudotab">
    <w:name w:val="pseudotab"/>
    <w:basedOn w:val="DefaultParagraphFont"/>
    <w:rsid w:val="00CC4B4B"/>
  </w:style>
  <w:style w:type="character" w:styleId="Hyperlink">
    <w:name w:val="Hyperlink"/>
    <w:basedOn w:val="DefaultParagraphFont"/>
    <w:uiPriority w:val="99"/>
    <w:unhideWhenUsed/>
    <w:rsid w:val="0078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bango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Harper</dc:creator>
  <cp:lastModifiedBy>Peter Harper</cp:lastModifiedBy>
  <cp:revision>5</cp:revision>
  <dcterms:created xsi:type="dcterms:W3CDTF">2011-12-15T17:30:00Z</dcterms:created>
  <dcterms:modified xsi:type="dcterms:W3CDTF">2014-05-08T09:51:00Z</dcterms:modified>
</cp:coreProperties>
</file>